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3D8" w:rsidRPr="004143D8" w:rsidRDefault="004143D8" w:rsidP="004143D8">
      <w:pPr>
        <w:suppressAutoHyphens/>
        <w:spacing w:line="300" w:lineRule="exact"/>
        <w:jc w:val="center"/>
        <w:outlineLvl w:val="0"/>
        <w:rPr>
          <w:rFonts w:ascii="Arial" w:hAnsi="Arial" w:cs="Arial"/>
          <w:bCs/>
          <w:color w:val="000000"/>
          <w:sz w:val="32"/>
          <w:szCs w:val="32"/>
          <w:lang w:val="tr-TR"/>
        </w:rPr>
      </w:pPr>
      <w:r w:rsidRPr="004143D8">
        <w:rPr>
          <w:rFonts w:ascii="Arial" w:hAnsi="Arial" w:cs="Arial"/>
          <w:bCs/>
          <w:color w:val="000000"/>
          <w:sz w:val="32"/>
          <w:szCs w:val="32"/>
          <w:lang w:val="tr-TR"/>
        </w:rPr>
        <w:t>Ekonomik kriz sonrasında Avrupa’daki ilaç şirketlerini nasıl bir gelecek bekliyor?</w:t>
      </w:r>
    </w:p>
    <w:p w:rsidR="004143D8" w:rsidRPr="00426914" w:rsidRDefault="004143D8" w:rsidP="004143D8">
      <w:pPr>
        <w:suppressAutoHyphens/>
        <w:jc w:val="right"/>
        <w:outlineLvl w:val="0"/>
        <w:rPr>
          <w:rFonts w:ascii="Arial" w:hAnsi="Arial" w:cs="Arial"/>
          <w:bCs/>
          <w:color w:val="000000"/>
          <w:sz w:val="20"/>
          <w:szCs w:val="20"/>
          <w:lang w:val="tr-TR"/>
        </w:rPr>
      </w:pPr>
    </w:p>
    <w:p w:rsidR="004143D8" w:rsidRPr="004143D8" w:rsidRDefault="004143D8" w:rsidP="0034483D">
      <w:pPr>
        <w:suppressAutoHyphens/>
        <w:spacing w:line="270" w:lineRule="exact"/>
        <w:jc w:val="both"/>
        <w:rPr>
          <w:rFonts w:ascii="Arial" w:eastAsia="Calibri" w:hAnsi="Arial" w:cs="Arial"/>
          <w:bCs/>
          <w:color w:val="000000"/>
          <w:sz w:val="28"/>
          <w:szCs w:val="28"/>
          <w:lang w:val="tr-TR" w:eastAsia="en-US"/>
        </w:rPr>
      </w:pPr>
      <w:r w:rsidRPr="004143D8">
        <w:rPr>
          <w:rFonts w:ascii="Arial" w:eastAsia="Calibri" w:hAnsi="Arial" w:cs="Arial"/>
          <w:bCs/>
          <w:color w:val="000000"/>
          <w:sz w:val="28"/>
          <w:szCs w:val="28"/>
          <w:lang w:val="tr-TR" w:eastAsia="en-US"/>
        </w:rPr>
        <w:t>2008-2009’daki küresel kriz ve 2011-2012’deki ülke borçları krizi, ilaç sektörünün Avrupa ülkelerinin ekonomik durum</w:t>
      </w:r>
      <w:r w:rsidR="00AF2575">
        <w:rPr>
          <w:rFonts w:ascii="Arial" w:eastAsia="Calibri" w:hAnsi="Arial" w:cs="Arial"/>
          <w:bCs/>
          <w:color w:val="000000"/>
          <w:sz w:val="28"/>
          <w:szCs w:val="28"/>
          <w:lang w:val="tr-TR" w:eastAsia="en-US"/>
        </w:rPr>
        <w:t>larına</w:t>
      </w:r>
      <w:r w:rsidRPr="004143D8">
        <w:rPr>
          <w:rFonts w:ascii="Arial" w:eastAsia="Calibri" w:hAnsi="Arial" w:cs="Arial"/>
          <w:bCs/>
          <w:color w:val="000000"/>
          <w:sz w:val="28"/>
          <w:szCs w:val="28"/>
          <w:lang w:val="tr-TR" w:eastAsia="en-US"/>
        </w:rPr>
        <w:t xml:space="preserve"> </w:t>
      </w:r>
      <w:r w:rsidR="00AF2575">
        <w:rPr>
          <w:rFonts w:ascii="Arial" w:eastAsia="Calibri" w:hAnsi="Arial" w:cs="Arial"/>
          <w:bCs/>
          <w:color w:val="000000"/>
          <w:sz w:val="28"/>
          <w:szCs w:val="28"/>
          <w:lang w:val="tr-TR" w:eastAsia="en-US"/>
        </w:rPr>
        <w:t xml:space="preserve">olan </w:t>
      </w:r>
      <w:r w:rsidRPr="004143D8">
        <w:rPr>
          <w:rFonts w:ascii="Arial" w:eastAsia="Calibri" w:hAnsi="Arial" w:cs="Arial"/>
          <w:bCs/>
          <w:color w:val="000000"/>
          <w:sz w:val="28"/>
          <w:szCs w:val="28"/>
          <w:lang w:val="tr-TR" w:eastAsia="en-US"/>
        </w:rPr>
        <w:t>bağımlılığının</w:t>
      </w:r>
      <w:r w:rsidR="00EC36A9">
        <w:rPr>
          <w:rFonts w:ascii="Arial" w:eastAsia="Calibri" w:hAnsi="Arial" w:cs="Arial"/>
          <w:bCs/>
          <w:color w:val="000000"/>
          <w:sz w:val="28"/>
          <w:szCs w:val="28"/>
          <w:lang w:val="tr-TR" w:eastAsia="en-US"/>
        </w:rPr>
        <w:t>,</w:t>
      </w:r>
      <w:r w:rsidRPr="004143D8">
        <w:rPr>
          <w:rFonts w:ascii="Arial" w:eastAsia="Calibri" w:hAnsi="Arial" w:cs="Arial"/>
          <w:bCs/>
          <w:color w:val="000000"/>
          <w:sz w:val="28"/>
          <w:szCs w:val="28"/>
          <w:lang w:val="tr-TR" w:eastAsia="en-US"/>
        </w:rPr>
        <w:t xml:space="preserve"> sektör için ağ</w:t>
      </w:r>
      <w:r w:rsidR="00AF2575">
        <w:rPr>
          <w:rFonts w:ascii="Arial" w:eastAsia="Calibri" w:hAnsi="Arial" w:cs="Arial"/>
          <w:bCs/>
          <w:color w:val="000000"/>
          <w:sz w:val="28"/>
          <w:szCs w:val="28"/>
          <w:lang w:val="tr-TR" w:eastAsia="en-US"/>
        </w:rPr>
        <w:t>ır derecede bozucu etkisi</w:t>
      </w:r>
      <w:r w:rsidRPr="004143D8">
        <w:rPr>
          <w:rFonts w:ascii="Arial" w:eastAsia="Calibri" w:hAnsi="Arial" w:cs="Arial"/>
          <w:bCs/>
          <w:color w:val="000000"/>
          <w:sz w:val="28"/>
          <w:szCs w:val="28"/>
          <w:lang w:val="tr-TR" w:eastAsia="en-US"/>
        </w:rPr>
        <w:t xml:space="preserve"> olduğunu ortaya koydu. Avrupa’da</w:t>
      </w:r>
      <w:r w:rsidR="00CF2502">
        <w:rPr>
          <w:rFonts w:ascii="Arial" w:eastAsia="Calibri" w:hAnsi="Arial" w:cs="Arial"/>
          <w:bCs/>
          <w:color w:val="000000"/>
          <w:sz w:val="28"/>
          <w:szCs w:val="28"/>
          <w:lang w:val="tr-TR" w:eastAsia="en-US"/>
        </w:rPr>
        <w:t xml:space="preserve"> azalan sağlık harcamaları sebebiyle zayıflayan </w:t>
      </w:r>
      <w:r w:rsidRPr="004143D8">
        <w:rPr>
          <w:rFonts w:ascii="Arial" w:eastAsia="Calibri" w:hAnsi="Arial" w:cs="Arial"/>
          <w:bCs/>
          <w:color w:val="000000"/>
          <w:sz w:val="28"/>
          <w:szCs w:val="28"/>
          <w:lang w:val="tr-TR" w:eastAsia="en-US"/>
        </w:rPr>
        <w:t>ilaç şirketleri</w:t>
      </w:r>
      <w:r w:rsidR="00CF2502">
        <w:rPr>
          <w:rFonts w:ascii="Arial" w:eastAsia="Calibri" w:hAnsi="Arial" w:cs="Arial"/>
          <w:bCs/>
          <w:color w:val="000000"/>
          <w:sz w:val="28"/>
          <w:szCs w:val="28"/>
          <w:lang w:val="tr-TR" w:eastAsia="en-US"/>
        </w:rPr>
        <w:t>,</w:t>
      </w:r>
      <w:r w:rsidRPr="004143D8">
        <w:rPr>
          <w:rFonts w:ascii="Arial" w:eastAsia="Calibri" w:hAnsi="Arial" w:cs="Arial"/>
          <w:bCs/>
          <w:color w:val="000000"/>
          <w:sz w:val="28"/>
          <w:szCs w:val="28"/>
          <w:lang w:val="tr-TR" w:eastAsia="en-US"/>
        </w:rPr>
        <w:t xml:space="preserve"> bu çıkmazdan k</w:t>
      </w:r>
      <w:r w:rsidR="00CF2502">
        <w:rPr>
          <w:rFonts w:ascii="Arial" w:eastAsia="Calibri" w:hAnsi="Arial" w:cs="Arial"/>
          <w:bCs/>
          <w:color w:val="000000"/>
          <w:sz w:val="28"/>
          <w:szCs w:val="28"/>
          <w:lang w:val="tr-TR" w:eastAsia="en-US"/>
        </w:rPr>
        <w:t xml:space="preserve">urtulmak ve yeniden canlanma sağlamak için </w:t>
      </w:r>
      <w:r w:rsidRPr="004143D8">
        <w:rPr>
          <w:rFonts w:ascii="Arial" w:eastAsia="Calibri" w:hAnsi="Arial" w:cs="Arial"/>
          <w:bCs/>
          <w:color w:val="000000"/>
          <w:sz w:val="28"/>
          <w:szCs w:val="28"/>
          <w:lang w:val="tr-TR" w:eastAsia="en-US"/>
        </w:rPr>
        <w:t>yeni pazarlara açılmaya ve özel pazarlara yatırım yapmaya çalışıyor.</w:t>
      </w:r>
    </w:p>
    <w:p w:rsidR="004143D8" w:rsidRPr="004143D8" w:rsidRDefault="004143D8" w:rsidP="004143D8">
      <w:pPr>
        <w:suppressAutoHyphens/>
        <w:spacing w:line="270" w:lineRule="exact"/>
        <w:jc w:val="both"/>
        <w:rPr>
          <w:rFonts w:ascii="Arial" w:eastAsia="Calibri" w:hAnsi="Arial" w:cs="Arial"/>
          <w:bCs/>
          <w:color w:val="000000"/>
          <w:sz w:val="28"/>
          <w:szCs w:val="28"/>
          <w:lang w:val="tr-TR" w:eastAsia="en-US"/>
        </w:rPr>
      </w:pPr>
    </w:p>
    <w:p w:rsidR="004143D8" w:rsidRPr="004143D8" w:rsidRDefault="004143D8" w:rsidP="00C51EC3">
      <w:pPr>
        <w:suppressAutoHyphens/>
        <w:spacing w:line="270" w:lineRule="exact"/>
        <w:jc w:val="center"/>
        <w:rPr>
          <w:rFonts w:ascii="Arial" w:eastAsia="Calibri" w:hAnsi="Arial" w:cs="Arial"/>
          <w:b/>
          <w:bCs/>
          <w:color w:val="000000"/>
          <w:lang w:val="tr-TR" w:eastAsia="en-US"/>
        </w:rPr>
      </w:pPr>
      <w:r w:rsidRPr="004143D8">
        <w:rPr>
          <w:rFonts w:ascii="Arial" w:eastAsia="Calibri" w:hAnsi="Arial" w:cs="Arial"/>
          <w:b/>
          <w:bCs/>
          <w:color w:val="000000"/>
          <w:lang w:val="tr-TR" w:eastAsia="en-US"/>
        </w:rPr>
        <w:t>Ekonomik kriz: İlaç sektöründe değişimi hızlandırıcı bir etken</w:t>
      </w:r>
    </w:p>
    <w:p w:rsidR="004143D8" w:rsidRPr="004143D8" w:rsidRDefault="004143D8" w:rsidP="004143D8">
      <w:pPr>
        <w:spacing w:line="270" w:lineRule="exact"/>
        <w:jc w:val="both"/>
        <w:rPr>
          <w:rFonts w:ascii="Arial" w:hAnsi="Arial" w:cs="Arial"/>
          <w:lang w:val="tr-TR"/>
        </w:rPr>
      </w:pPr>
    </w:p>
    <w:p w:rsidR="004143D8" w:rsidRPr="004143D8" w:rsidRDefault="004143D8" w:rsidP="004143D8">
      <w:pPr>
        <w:pStyle w:val="ListeParagraf"/>
        <w:numPr>
          <w:ilvl w:val="0"/>
          <w:numId w:val="1"/>
        </w:numPr>
        <w:spacing w:line="270" w:lineRule="exact"/>
        <w:jc w:val="both"/>
        <w:rPr>
          <w:rFonts w:ascii="Arial" w:hAnsi="Arial" w:cs="Arial"/>
          <w:b/>
          <w:lang w:val="tr-TR"/>
        </w:rPr>
      </w:pPr>
      <w:r w:rsidRPr="004143D8">
        <w:rPr>
          <w:rFonts w:ascii="Arial" w:hAnsi="Arial" w:cs="Arial"/>
          <w:b/>
          <w:lang w:val="tr-TR"/>
        </w:rPr>
        <w:t xml:space="preserve">Azalan sağlık harcamalarında devletin rolü </w:t>
      </w:r>
    </w:p>
    <w:p w:rsidR="004143D8" w:rsidRPr="004143D8" w:rsidRDefault="004143D8" w:rsidP="004143D8">
      <w:pPr>
        <w:spacing w:line="270" w:lineRule="exact"/>
        <w:jc w:val="both"/>
        <w:rPr>
          <w:rFonts w:ascii="Arial" w:hAnsi="Arial" w:cs="Arial"/>
          <w:lang w:val="tr-TR"/>
        </w:rPr>
      </w:pPr>
    </w:p>
    <w:p w:rsidR="004143D8" w:rsidRPr="004143D8" w:rsidRDefault="004143D8" w:rsidP="004143D8">
      <w:pPr>
        <w:spacing w:line="276" w:lineRule="auto"/>
        <w:jc w:val="both"/>
        <w:rPr>
          <w:rFonts w:ascii="Arial" w:hAnsi="Arial" w:cs="Arial"/>
          <w:lang w:val="tr-TR"/>
        </w:rPr>
      </w:pPr>
      <w:r w:rsidRPr="004143D8">
        <w:rPr>
          <w:rFonts w:ascii="Arial" w:hAnsi="Arial" w:cs="Arial"/>
          <w:lang w:val="tr-TR"/>
        </w:rPr>
        <w:t>Ekonomik kriz, Avrupa’da yaşlanan nüfusa rağmen ilaç tüketiminde olumsuz etkilere neden olmuştur. İlaç sektörünün ana finansörü olan hükümetler, borçlarındaki artışı dizginlemek için sağlık harcamalarını kısmak zorunda kalmışlar, dolayısıyla ilaç geri ödemelerini sınırlamışlardır. Bunun sonucunda ilaç harcamalarının GSYH’ye oranı 2003 ile 2011 yılları arasında yüzde 14,9’dan yüzde 13,4’e düşmüştür. Ayrıca ilaç şirketlerinin zararına olacak şekilde muadil ilaç yanlısı politikalar benimsenmiş, d</w:t>
      </w:r>
      <w:r w:rsidR="006E5916">
        <w:rPr>
          <w:rFonts w:ascii="Arial" w:hAnsi="Arial" w:cs="Arial"/>
          <w:lang w:val="tr-TR"/>
        </w:rPr>
        <w:t xml:space="preserve">oktorlar muadil ilaçları reçeteye yazmaya </w:t>
      </w:r>
      <w:r w:rsidRPr="004143D8">
        <w:rPr>
          <w:rFonts w:ascii="Arial" w:hAnsi="Arial" w:cs="Arial"/>
          <w:lang w:val="tr-TR"/>
        </w:rPr>
        <w:t xml:space="preserve">teşvik edilmiş, tüketiciler de geri ödeme oranları daha yüksek olan bu ilaçlara yönelmiştir. Son olarak Avrupa ülkelerinin fiyatlandırma bakımından birbirlerine olan bağlılıkları, azalan sağlık harcamalarının etkisini daha da güçlendirmektedir. </w:t>
      </w:r>
    </w:p>
    <w:p w:rsidR="004143D8" w:rsidRPr="004143D8" w:rsidRDefault="004143D8" w:rsidP="004143D8">
      <w:pPr>
        <w:spacing w:line="270" w:lineRule="exact"/>
        <w:jc w:val="both"/>
        <w:rPr>
          <w:rFonts w:ascii="Arial" w:hAnsi="Arial" w:cs="Arial"/>
          <w:lang w:val="tr-TR"/>
        </w:rPr>
      </w:pPr>
    </w:p>
    <w:p w:rsidR="004143D8" w:rsidRPr="004143D8" w:rsidRDefault="004143D8" w:rsidP="004143D8">
      <w:pPr>
        <w:pStyle w:val="ListeParagraf"/>
        <w:numPr>
          <w:ilvl w:val="0"/>
          <w:numId w:val="1"/>
        </w:numPr>
        <w:spacing w:line="270" w:lineRule="exact"/>
        <w:jc w:val="both"/>
        <w:rPr>
          <w:rFonts w:ascii="Arial" w:hAnsi="Arial" w:cs="Arial"/>
          <w:b/>
          <w:lang w:val="tr-TR"/>
        </w:rPr>
      </w:pPr>
      <w:r w:rsidRPr="004143D8">
        <w:rPr>
          <w:rFonts w:ascii="Arial" w:hAnsi="Arial" w:cs="Arial"/>
          <w:noProof/>
          <w:lang w:val="tr-TR" w:eastAsia="tr-TR"/>
        </w:rPr>
        <mc:AlternateContent>
          <mc:Choice Requires="wps">
            <w:drawing>
              <wp:anchor distT="0" distB="0" distL="114300" distR="114300" simplePos="0" relativeHeight="251660288" behindDoc="0" locked="0" layoutInCell="1" allowOverlap="1" wp14:anchorId="16895F66" wp14:editId="2F1D82FA">
                <wp:simplePos x="0" y="0"/>
                <wp:positionH relativeFrom="column">
                  <wp:posOffset>2569845</wp:posOffset>
                </wp:positionH>
                <wp:positionV relativeFrom="paragraph">
                  <wp:posOffset>300990</wp:posOffset>
                </wp:positionV>
                <wp:extent cx="2171700" cy="390525"/>
                <wp:effectExtent l="0" t="0" r="1270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90525"/>
                        </a:xfrm>
                        <a:prstGeom prst="rect">
                          <a:avLst/>
                        </a:prstGeom>
                        <a:solidFill>
                          <a:schemeClr val="bg1"/>
                        </a:solidFill>
                        <a:ln>
                          <a:noFill/>
                        </a:ln>
                      </wps:spPr>
                      <wps:txbx>
                        <w:txbxContent>
                          <w:p w:rsidR="004143D8" w:rsidRPr="00706C1F" w:rsidRDefault="004143D8" w:rsidP="004143D8">
                            <w:pPr>
                              <w:rPr>
                                <w:rFonts w:ascii="Arial" w:hAnsi="Arial" w:cs="Arial"/>
                                <w:b/>
                                <w:color w:val="000000" w:themeColor="text1"/>
                                <w:sz w:val="16"/>
                                <w:szCs w:val="16"/>
                                <w:lang w:val="tr-TR"/>
                              </w:rPr>
                            </w:pPr>
                            <w:r w:rsidRPr="00706C1F">
                              <w:rPr>
                                <w:rFonts w:ascii="Arial" w:hAnsi="Arial" w:cs="Arial"/>
                                <w:b/>
                                <w:color w:val="000000" w:themeColor="text1"/>
                                <w:sz w:val="16"/>
                                <w:szCs w:val="16"/>
                                <w:lang w:val="tr-TR"/>
                              </w:rPr>
                              <w:t xml:space="preserve">Grafik 3: </w:t>
                            </w:r>
                          </w:p>
                          <w:p w:rsidR="004143D8" w:rsidRDefault="004143D8" w:rsidP="004143D8">
                            <w:pPr>
                              <w:rPr>
                                <w:rFonts w:ascii="Arial" w:hAnsi="Arial" w:cs="Arial"/>
                                <w:color w:val="000000" w:themeColor="text1"/>
                                <w:sz w:val="16"/>
                                <w:szCs w:val="16"/>
                                <w:lang w:val="tr-TR"/>
                              </w:rPr>
                            </w:pPr>
                            <w:r>
                              <w:rPr>
                                <w:rFonts w:ascii="Arial" w:hAnsi="Arial" w:cs="Arial"/>
                                <w:color w:val="000000" w:themeColor="text1"/>
                                <w:sz w:val="16"/>
                                <w:szCs w:val="16"/>
                                <w:lang w:val="tr-TR"/>
                              </w:rPr>
                              <w:t>Patentleri sona ermekte olan ilaçların  satışları,</w:t>
                            </w:r>
                          </w:p>
                          <w:p w:rsidR="004143D8" w:rsidRPr="00A0775B" w:rsidRDefault="004143D8" w:rsidP="004143D8">
                            <w:pPr>
                              <w:rPr>
                                <w:rFonts w:ascii="Arial" w:hAnsi="Arial" w:cs="Arial"/>
                                <w:color w:val="000000" w:themeColor="text1"/>
                                <w:sz w:val="16"/>
                                <w:szCs w:val="16"/>
                                <w:lang w:val="tr-TR"/>
                              </w:rPr>
                            </w:pPr>
                            <w:r>
                              <w:rPr>
                                <w:rFonts w:ascii="Arial" w:hAnsi="Arial" w:cs="Arial"/>
                                <w:color w:val="000000" w:themeColor="text1"/>
                                <w:sz w:val="16"/>
                                <w:szCs w:val="16"/>
                                <w:lang w:val="tr-TR"/>
                              </w:rPr>
                              <w:t xml:space="preserve">milyar ABD$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895F66" id="_x0000_t202" coordsize="21600,21600" o:spt="202" path="m,l,21600r21600,l21600,xe">
                <v:stroke joinstyle="miter"/>
                <v:path gradientshapeok="t" o:connecttype="rect"/>
              </v:shapetype>
              <v:shape id="Text Box 25" o:spid="_x0000_s1026" type="#_x0000_t202" style="position:absolute;left:0;text-align:left;margin-left:202.35pt;margin-top:23.7pt;width:171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" fillcolor="white [3212]" stroked="f">
                <v:textbox inset="0,0,0,0">
                  <w:txbxContent>
                    <w:p w:rsidR="004143D8" w:rsidRPr="00706C1F" w:rsidRDefault="004143D8" w:rsidP="004143D8">
                      <w:pPr>
                        <w:rPr>
                          <w:rFonts w:ascii="Arial" w:hAnsi="Arial" w:cs="Arial"/>
                          <w:b/>
                          <w:color w:val="000000" w:themeColor="text1"/>
                          <w:sz w:val="16"/>
                          <w:szCs w:val="16"/>
                          <w:lang w:val="tr-TR"/>
                        </w:rPr>
                      </w:pPr>
                      <w:r w:rsidRPr="00706C1F">
                        <w:rPr>
                          <w:rFonts w:ascii="Arial" w:hAnsi="Arial" w:cs="Arial"/>
                          <w:b/>
                          <w:color w:val="000000" w:themeColor="text1"/>
                          <w:sz w:val="16"/>
                          <w:szCs w:val="16"/>
                          <w:lang w:val="tr-TR"/>
                        </w:rPr>
                        <w:t xml:space="preserve">Grafik 3: </w:t>
                      </w:r>
                    </w:p>
                    <w:p w:rsidR="004143D8" w:rsidRDefault="004143D8" w:rsidP="004143D8">
                      <w:pPr>
                        <w:rPr>
                          <w:rFonts w:ascii="Arial" w:hAnsi="Arial" w:cs="Arial"/>
                          <w:color w:val="000000" w:themeColor="text1"/>
                          <w:sz w:val="16"/>
                          <w:szCs w:val="16"/>
                          <w:lang w:val="tr-TR"/>
                        </w:rPr>
                      </w:pPr>
                      <w:r>
                        <w:rPr>
                          <w:rFonts w:ascii="Arial" w:hAnsi="Arial" w:cs="Arial"/>
                          <w:color w:val="000000" w:themeColor="text1"/>
                          <w:sz w:val="16"/>
                          <w:szCs w:val="16"/>
                          <w:lang w:val="tr-TR"/>
                        </w:rPr>
                        <w:t xml:space="preserve">Patentleri sona ermekte olan </w:t>
                      </w:r>
                      <w:proofErr w:type="gramStart"/>
                      <w:r>
                        <w:rPr>
                          <w:rFonts w:ascii="Arial" w:hAnsi="Arial" w:cs="Arial"/>
                          <w:color w:val="000000" w:themeColor="text1"/>
                          <w:sz w:val="16"/>
                          <w:szCs w:val="16"/>
                          <w:lang w:val="tr-TR"/>
                        </w:rPr>
                        <w:t>ilaçların  satışları</w:t>
                      </w:r>
                      <w:proofErr w:type="gramEnd"/>
                      <w:r>
                        <w:rPr>
                          <w:rFonts w:ascii="Arial" w:hAnsi="Arial" w:cs="Arial"/>
                          <w:color w:val="000000" w:themeColor="text1"/>
                          <w:sz w:val="16"/>
                          <w:szCs w:val="16"/>
                          <w:lang w:val="tr-TR"/>
                        </w:rPr>
                        <w:t>,</w:t>
                      </w:r>
                    </w:p>
                    <w:p w:rsidR="004143D8" w:rsidRPr="00A0775B" w:rsidRDefault="004143D8" w:rsidP="004143D8">
                      <w:pPr>
                        <w:rPr>
                          <w:rFonts w:ascii="Arial" w:hAnsi="Arial" w:cs="Arial"/>
                          <w:color w:val="000000" w:themeColor="text1"/>
                          <w:sz w:val="16"/>
                          <w:szCs w:val="16"/>
                          <w:lang w:val="tr-TR"/>
                        </w:rPr>
                      </w:pPr>
                      <w:proofErr w:type="gramStart"/>
                      <w:r>
                        <w:rPr>
                          <w:rFonts w:ascii="Arial" w:hAnsi="Arial" w:cs="Arial"/>
                          <w:color w:val="000000" w:themeColor="text1"/>
                          <w:sz w:val="16"/>
                          <w:szCs w:val="16"/>
                          <w:lang w:val="tr-TR"/>
                        </w:rPr>
                        <w:t>milyar</w:t>
                      </w:r>
                      <w:proofErr w:type="gramEnd"/>
                      <w:r>
                        <w:rPr>
                          <w:rFonts w:ascii="Arial" w:hAnsi="Arial" w:cs="Arial"/>
                          <w:color w:val="000000" w:themeColor="text1"/>
                          <w:sz w:val="16"/>
                          <w:szCs w:val="16"/>
                          <w:lang w:val="tr-TR"/>
                        </w:rPr>
                        <w:t xml:space="preserve"> ABD$ </w:t>
                      </w:r>
                    </w:p>
                  </w:txbxContent>
                </v:textbox>
              </v:shape>
            </w:pict>
          </mc:Fallback>
        </mc:AlternateContent>
      </w:r>
      <w:r w:rsidRPr="004143D8">
        <w:rPr>
          <w:noProof/>
          <w:lang w:val="tr-TR" w:eastAsia="tr-TR"/>
        </w:rPr>
        <w:drawing>
          <wp:anchor distT="0" distB="0" distL="114300" distR="114300" simplePos="0" relativeHeight="251659264" behindDoc="0" locked="0" layoutInCell="1" allowOverlap="1" wp14:anchorId="1A369022" wp14:editId="3A441DA0">
            <wp:simplePos x="0" y="0"/>
            <wp:positionH relativeFrom="column">
              <wp:posOffset>2514600</wp:posOffset>
            </wp:positionH>
            <wp:positionV relativeFrom="paragraph">
              <wp:posOffset>278765</wp:posOffset>
            </wp:positionV>
            <wp:extent cx="3086100" cy="2709545"/>
            <wp:effectExtent l="0" t="0" r="1270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270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3D8">
        <w:rPr>
          <w:rFonts w:ascii="Arial" w:hAnsi="Arial" w:cs="Arial"/>
          <w:b/>
          <w:lang w:val="tr-TR"/>
        </w:rPr>
        <w:t xml:space="preserve">Bu değişiklikler sonucunda, 2014 ile 2016 arasında patent uçurumu zirveye ulaşacaktır.  </w:t>
      </w:r>
    </w:p>
    <w:p w:rsidR="004143D8" w:rsidRPr="004143D8" w:rsidRDefault="004143D8" w:rsidP="004143D8">
      <w:pPr>
        <w:spacing w:line="270" w:lineRule="exact"/>
        <w:jc w:val="both"/>
        <w:rPr>
          <w:rFonts w:ascii="Arial" w:hAnsi="Arial" w:cs="Arial"/>
          <w:lang w:val="tr-TR"/>
        </w:rPr>
      </w:pPr>
    </w:p>
    <w:p w:rsidR="004143D8" w:rsidRPr="004143D8" w:rsidRDefault="004143D8" w:rsidP="004143D8">
      <w:pPr>
        <w:spacing w:line="270" w:lineRule="exact"/>
        <w:jc w:val="both"/>
        <w:rPr>
          <w:rFonts w:ascii="Arial" w:hAnsi="Arial" w:cs="Arial"/>
          <w:lang w:val="tr-TR"/>
        </w:rPr>
      </w:pPr>
      <w:r w:rsidRPr="004143D8">
        <w:rPr>
          <w:rFonts w:ascii="Arial" w:hAnsi="Arial" w:cs="Arial"/>
          <w:noProof/>
          <w:lang w:val="tr-TR" w:eastAsia="tr-TR"/>
        </w:rPr>
        <mc:AlternateContent>
          <mc:Choice Requires="wps">
            <w:drawing>
              <wp:anchor distT="0" distB="0" distL="114300" distR="114300" simplePos="0" relativeHeight="251661312" behindDoc="0" locked="0" layoutInCell="1" allowOverlap="1" wp14:anchorId="62316295" wp14:editId="1B9FD7B5">
                <wp:simplePos x="0" y="0"/>
                <wp:positionH relativeFrom="column">
                  <wp:posOffset>2514600</wp:posOffset>
                </wp:positionH>
                <wp:positionV relativeFrom="paragraph">
                  <wp:posOffset>2326005</wp:posOffset>
                </wp:positionV>
                <wp:extent cx="1456055" cy="245745"/>
                <wp:effectExtent l="0" t="0" r="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245745"/>
                        </a:xfrm>
                        <a:prstGeom prst="rect">
                          <a:avLst/>
                        </a:prstGeom>
                        <a:solidFill>
                          <a:schemeClr val="bg1"/>
                        </a:solidFill>
                        <a:ln>
                          <a:noFill/>
                        </a:ln>
                      </wps:spPr>
                      <wps:txbx>
                        <w:txbxContent>
                          <w:p w:rsidR="004143D8" w:rsidRPr="00A0775B" w:rsidRDefault="004143D8" w:rsidP="004143D8">
                            <w:pPr>
                              <w:rPr>
                                <w:rFonts w:ascii="Arial" w:hAnsi="Arial" w:cs="Arial"/>
                                <w:color w:val="000000" w:themeColor="text1"/>
                                <w:sz w:val="16"/>
                                <w:szCs w:val="16"/>
                                <w:lang w:val="tr-TR"/>
                              </w:rPr>
                            </w:pPr>
                            <w:r>
                              <w:rPr>
                                <w:rFonts w:ascii="Arial" w:hAnsi="Arial" w:cs="Arial"/>
                                <w:color w:val="000000" w:themeColor="text1"/>
                                <w:sz w:val="16"/>
                                <w:szCs w:val="16"/>
                                <w:lang w:val="tr-TR"/>
                              </w:rPr>
                              <w:t xml:space="preserve">Kaynak: Evaluate Pharma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316295" id="Text Box 4" o:spid="_x0000_s1027" type="#_x0000_t202" style="position:absolute;left:0;text-align:left;margin-left:198pt;margin-top:183.15pt;width:114.65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" fillcolor="white [3212]" stroked="f">
                <v:textbox inset="0,0,0,0">
                  <w:txbxContent>
                    <w:p w:rsidR="004143D8" w:rsidRPr="00A0775B" w:rsidRDefault="004143D8" w:rsidP="004143D8">
                      <w:pPr>
                        <w:rPr>
                          <w:rFonts w:ascii="Arial" w:hAnsi="Arial" w:cs="Arial"/>
                          <w:color w:val="000000" w:themeColor="text1"/>
                          <w:sz w:val="16"/>
                          <w:szCs w:val="16"/>
                          <w:lang w:val="tr-TR"/>
                        </w:rPr>
                      </w:pPr>
                      <w:r>
                        <w:rPr>
                          <w:rFonts w:ascii="Arial" w:hAnsi="Arial" w:cs="Arial"/>
                          <w:color w:val="000000" w:themeColor="text1"/>
                          <w:sz w:val="16"/>
                          <w:szCs w:val="16"/>
                          <w:lang w:val="tr-TR"/>
                        </w:rPr>
                        <w:t xml:space="preserve">Kaynak: </w:t>
                      </w:r>
                      <w:proofErr w:type="spellStart"/>
                      <w:r>
                        <w:rPr>
                          <w:rFonts w:ascii="Arial" w:hAnsi="Arial" w:cs="Arial"/>
                          <w:color w:val="000000" w:themeColor="text1"/>
                          <w:sz w:val="16"/>
                          <w:szCs w:val="16"/>
                          <w:lang w:val="tr-TR"/>
                        </w:rPr>
                        <w:t>Evaluate</w:t>
                      </w:r>
                      <w:proofErr w:type="spellEnd"/>
                      <w:r>
                        <w:rPr>
                          <w:rFonts w:ascii="Arial" w:hAnsi="Arial" w:cs="Arial"/>
                          <w:color w:val="000000" w:themeColor="text1"/>
                          <w:sz w:val="16"/>
                          <w:szCs w:val="16"/>
                          <w:lang w:val="tr-TR"/>
                        </w:rPr>
                        <w:t xml:space="preserve"> </w:t>
                      </w:r>
                      <w:proofErr w:type="spellStart"/>
                      <w:r>
                        <w:rPr>
                          <w:rFonts w:ascii="Arial" w:hAnsi="Arial" w:cs="Arial"/>
                          <w:color w:val="000000" w:themeColor="text1"/>
                          <w:sz w:val="16"/>
                          <w:szCs w:val="16"/>
                          <w:lang w:val="tr-TR"/>
                        </w:rPr>
                        <w:t>Pharma</w:t>
                      </w:r>
                      <w:proofErr w:type="spellEnd"/>
                      <w:r>
                        <w:rPr>
                          <w:rFonts w:ascii="Arial" w:hAnsi="Arial" w:cs="Arial"/>
                          <w:color w:val="000000" w:themeColor="text1"/>
                          <w:sz w:val="16"/>
                          <w:szCs w:val="16"/>
                          <w:lang w:val="tr-TR"/>
                        </w:rPr>
                        <w:t xml:space="preserve"> </w:t>
                      </w:r>
                    </w:p>
                  </w:txbxContent>
                </v:textbox>
              </v:shape>
            </w:pict>
          </mc:Fallback>
        </mc:AlternateContent>
      </w:r>
      <w:r w:rsidRPr="004143D8">
        <w:rPr>
          <w:rFonts w:ascii="Arial" w:hAnsi="Arial" w:cs="Arial"/>
          <w:lang w:val="tr-TR"/>
        </w:rPr>
        <w:t>1980’li yıllar piyasada “</w:t>
      </w:r>
      <w:r w:rsidRPr="004143D8">
        <w:rPr>
          <w:rFonts w:ascii="Arial" w:hAnsi="Arial" w:cs="Arial"/>
          <w:i/>
          <w:lang w:val="tr-TR"/>
        </w:rPr>
        <w:t>blockbuster</w:t>
      </w:r>
      <w:r w:rsidRPr="004143D8">
        <w:rPr>
          <w:rFonts w:ascii="Arial" w:hAnsi="Arial" w:cs="Arial"/>
          <w:lang w:val="tr-TR"/>
        </w:rPr>
        <w:t>” olarak bilinen ilaç araştırma ve geliştirme faaliyetleri bakımından çok başarılı bir dönem olmuştu. 2000’li yılların başlarında bu moleküllerin birçoğu patentlerinin sağladığı korumanın sonuna ulaşmışlardı. Bazı ilaç şirketleri, piyasada muadil ilaçların ortaya çıkması ile birlikte gelirlerinin önemli bir bölümünü kaybetme tehdidi ile karşı karşıya kaldılar. 2010 yılından bu yana bu “patent uçurumu” hızlanmaktadır</w:t>
      </w:r>
      <w:r w:rsidR="00C51EC3">
        <w:rPr>
          <w:rFonts w:ascii="Arial" w:hAnsi="Arial" w:cs="Arial"/>
          <w:lang w:val="tr-TR"/>
        </w:rPr>
        <w:t>. B</w:t>
      </w:r>
      <w:r w:rsidRPr="004143D8">
        <w:rPr>
          <w:rFonts w:ascii="Arial" w:hAnsi="Arial" w:cs="Arial"/>
          <w:lang w:val="tr-TR"/>
        </w:rPr>
        <w:t xml:space="preserve">u gidişat 2020 yılına kadar önemli </w:t>
      </w:r>
      <w:r w:rsidRPr="004143D8">
        <w:rPr>
          <w:rFonts w:ascii="Arial" w:hAnsi="Arial" w:cs="Arial"/>
          <w:lang w:val="tr-TR"/>
        </w:rPr>
        <w:lastRenderedPageBreak/>
        <w:t>ölçüde sürecektir</w:t>
      </w:r>
      <w:r w:rsidR="00C51EC3">
        <w:rPr>
          <w:rFonts w:ascii="Arial" w:hAnsi="Arial" w:cs="Arial"/>
          <w:lang w:val="tr-TR"/>
        </w:rPr>
        <w:t xml:space="preserve">. </w:t>
      </w:r>
      <w:r w:rsidRPr="004143D8">
        <w:rPr>
          <w:rFonts w:ascii="Arial" w:hAnsi="Arial" w:cs="Arial"/>
          <w:lang w:val="tr-TR"/>
        </w:rPr>
        <w:t>2014-2016 döneminde zirveye ulaşma</w:t>
      </w:r>
      <w:r w:rsidR="00C51EC3">
        <w:rPr>
          <w:rFonts w:ascii="Arial" w:hAnsi="Arial" w:cs="Arial"/>
          <w:lang w:val="tr-TR"/>
        </w:rPr>
        <w:t>sı beklenmektedir.</w:t>
      </w:r>
      <w:r w:rsidRPr="004143D8">
        <w:rPr>
          <w:rFonts w:ascii="Arial" w:hAnsi="Arial" w:cs="Arial"/>
          <w:lang w:val="tr-TR"/>
        </w:rPr>
        <w:t xml:space="preserve">  </w:t>
      </w:r>
    </w:p>
    <w:p w:rsidR="004143D8" w:rsidRPr="004143D8" w:rsidRDefault="004143D8" w:rsidP="004143D8"/>
    <w:p w:rsidR="004143D8" w:rsidRPr="004143D8" w:rsidRDefault="004143D8" w:rsidP="004143D8">
      <w:pPr>
        <w:suppressAutoHyphens/>
        <w:spacing w:line="270" w:lineRule="exact"/>
        <w:jc w:val="both"/>
      </w:pPr>
    </w:p>
    <w:p w:rsidR="004143D8" w:rsidRPr="004143D8" w:rsidRDefault="004143D8" w:rsidP="004143D8">
      <w:pPr>
        <w:suppressAutoHyphens/>
        <w:spacing w:line="270" w:lineRule="exact"/>
        <w:jc w:val="both"/>
      </w:pPr>
    </w:p>
    <w:p w:rsidR="004143D8" w:rsidRPr="004143D8" w:rsidRDefault="004143D8" w:rsidP="00C51EC3">
      <w:pPr>
        <w:suppressAutoHyphens/>
        <w:spacing w:line="270" w:lineRule="exact"/>
        <w:jc w:val="center"/>
        <w:rPr>
          <w:rFonts w:ascii="Arial" w:eastAsia="Calibri" w:hAnsi="Arial" w:cs="Arial"/>
          <w:b/>
          <w:bCs/>
          <w:color w:val="000000"/>
          <w:lang w:val="tr-TR" w:eastAsia="en-US"/>
        </w:rPr>
      </w:pPr>
      <w:r w:rsidRPr="004143D8">
        <w:rPr>
          <w:rFonts w:ascii="Arial" w:eastAsia="Calibri" w:hAnsi="Arial" w:cs="Arial"/>
          <w:b/>
          <w:bCs/>
          <w:color w:val="000000"/>
          <w:lang w:val="tr-TR" w:eastAsia="en-US"/>
        </w:rPr>
        <w:t>“</w:t>
      </w:r>
      <w:r w:rsidRPr="004143D8">
        <w:rPr>
          <w:rFonts w:ascii="Arial" w:eastAsia="Calibri" w:hAnsi="Arial" w:cs="Arial"/>
          <w:b/>
          <w:bCs/>
          <w:i/>
          <w:color w:val="000000"/>
          <w:lang w:val="tr-TR" w:eastAsia="en-US"/>
        </w:rPr>
        <w:t>Yükselen ilaç piyasası</w:t>
      </w:r>
      <w:r w:rsidR="006E5916">
        <w:rPr>
          <w:rFonts w:ascii="Arial" w:eastAsia="Calibri" w:hAnsi="Arial" w:cs="Arial"/>
          <w:b/>
          <w:bCs/>
          <w:color w:val="000000"/>
          <w:lang w:val="tr-TR" w:eastAsia="en-US"/>
        </w:rPr>
        <w:t xml:space="preserve">”na </w:t>
      </w:r>
      <w:r>
        <w:rPr>
          <w:rFonts w:ascii="Arial" w:eastAsia="Calibri" w:hAnsi="Arial" w:cs="Arial"/>
          <w:b/>
          <w:bCs/>
          <w:color w:val="000000"/>
          <w:lang w:val="tr-TR" w:eastAsia="en-US"/>
        </w:rPr>
        <w:t xml:space="preserve">odaklanan </w:t>
      </w:r>
      <w:r w:rsidRPr="004143D8">
        <w:rPr>
          <w:rFonts w:ascii="Arial" w:eastAsia="Calibri" w:hAnsi="Arial" w:cs="Arial"/>
          <w:b/>
          <w:bCs/>
          <w:color w:val="000000"/>
          <w:lang w:val="tr-TR" w:eastAsia="en-US"/>
        </w:rPr>
        <w:t>yeni bir modelin doğuşu</w:t>
      </w:r>
    </w:p>
    <w:p w:rsidR="004143D8" w:rsidRPr="004143D8" w:rsidRDefault="004143D8" w:rsidP="004143D8"/>
    <w:p w:rsidR="004143D8" w:rsidRPr="004143D8" w:rsidRDefault="004143D8" w:rsidP="004143D8">
      <w:pPr>
        <w:pStyle w:val="ListeParagraf"/>
        <w:numPr>
          <w:ilvl w:val="0"/>
          <w:numId w:val="1"/>
        </w:numPr>
        <w:spacing w:line="270" w:lineRule="exact"/>
        <w:jc w:val="both"/>
        <w:rPr>
          <w:rFonts w:ascii="Arial" w:hAnsi="Arial" w:cs="Arial"/>
          <w:b/>
          <w:lang w:val="tr-TR"/>
        </w:rPr>
      </w:pPr>
      <w:r w:rsidRPr="004143D8">
        <w:rPr>
          <w:rFonts w:ascii="Arial" w:hAnsi="Arial" w:cs="Arial"/>
          <w:b/>
          <w:lang w:val="tr-TR"/>
        </w:rPr>
        <w:t>Avrupa’daki otoritelerin artırdığı regülasyonla yüzleşme</w:t>
      </w:r>
    </w:p>
    <w:p w:rsidR="004143D8" w:rsidRPr="004143D8" w:rsidRDefault="004143D8" w:rsidP="004143D8"/>
    <w:p w:rsidR="004143D8" w:rsidRPr="004143D8" w:rsidRDefault="004143D8" w:rsidP="004143D8">
      <w:pPr>
        <w:spacing w:line="276" w:lineRule="auto"/>
        <w:jc w:val="both"/>
        <w:rPr>
          <w:rFonts w:ascii="Arial" w:hAnsi="Arial" w:cs="Arial"/>
          <w:lang w:val="tr-TR"/>
        </w:rPr>
      </w:pPr>
      <w:r w:rsidRPr="004143D8">
        <w:rPr>
          <w:rFonts w:ascii="Arial" w:hAnsi="Arial" w:cs="Arial"/>
          <w:lang w:val="tr-TR"/>
        </w:rPr>
        <w:t>Bugün kamu kurumları ilaçların piyasaya sürülmesi sürecini her zamankinden daha fazla düzenlemeye tabi tutmaktadır. ‘’Value Based Medicine’’ ( Değere Dayalı İlaç ) gibi fiyatlandırma politikaları bunu ortaya koymaktadır</w:t>
      </w:r>
      <w:r w:rsidRPr="004143D8">
        <w:rPr>
          <w:rStyle w:val="DipnotBavurusu"/>
          <w:rFonts w:ascii="Arial" w:hAnsi="Arial" w:cs="Arial"/>
          <w:lang w:val="tr-TR"/>
        </w:rPr>
        <w:footnoteReference w:id="1"/>
      </w:r>
      <w:r w:rsidRPr="004143D8">
        <w:rPr>
          <w:rFonts w:ascii="Arial" w:hAnsi="Arial" w:cs="Arial"/>
          <w:lang w:val="tr-TR"/>
        </w:rPr>
        <w:t>. İlaç şirketleri artık tedavi edici etki</w:t>
      </w:r>
      <w:r w:rsidR="00DC71A8">
        <w:rPr>
          <w:rFonts w:ascii="Arial" w:hAnsi="Arial" w:cs="Arial"/>
          <w:lang w:val="tr-TR"/>
        </w:rPr>
        <w:t>ye</w:t>
      </w:r>
      <w:r w:rsidRPr="004143D8">
        <w:rPr>
          <w:rFonts w:ascii="Arial" w:hAnsi="Arial" w:cs="Arial"/>
          <w:lang w:val="tr-TR"/>
        </w:rPr>
        <w:t xml:space="preserve"> ek olarak yeni bir molekülün hastanın yaşam kalitesine değer kattığını da ispatlamak zorundalar. </w:t>
      </w:r>
    </w:p>
    <w:p w:rsidR="004143D8" w:rsidRPr="004143D8" w:rsidRDefault="004143D8" w:rsidP="004143D8">
      <w:pPr>
        <w:spacing w:line="276" w:lineRule="auto"/>
        <w:jc w:val="both"/>
        <w:rPr>
          <w:rFonts w:ascii="Arial" w:hAnsi="Arial" w:cs="Arial"/>
          <w:lang w:val="tr-TR"/>
        </w:rPr>
      </w:pPr>
    </w:p>
    <w:p w:rsidR="004143D8" w:rsidRPr="004143D8" w:rsidRDefault="004143D8" w:rsidP="004143D8">
      <w:pPr>
        <w:spacing w:line="276" w:lineRule="auto"/>
        <w:jc w:val="both"/>
        <w:rPr>
          <w:rFonts w:ascii="Arial" w:hAnsi="Arial" w:cs="Arial"/>
          <w:lang w:val="tr-TR"/>
        </w:rPr>
      </w:pPr>
      <w:r w:rsidRPr="004143D8">
        <w:rPr>
          <w:rFonts w:ascii="Arial" w:hAnsi="Arial" w:cs="Arial"/>
          <w:lang w:val="tr-TR"/>
        </w:rPr>
        <w:t>Bu engeller ilaçların piyasaya sürülmesi sürecini yavaşlatmaktadır ve muadil ilaç üreticilerinin rekabet gücü ile karşı karşıya olan ilaç şirketlerinin ürünlerinin geri ödeme değerlerini düşürmesi beklenmektedir. Muadil ilaçlar şu anda satış hacimleri bakımından pazarda yüzde 50’nin üzerinde bir paya sahiptir</w:t>
      </w:r>
      <w:r w:rsidR="008F7254">
        <w:rPr>
          <w:rFonts w:ascii="Arial" w:hAnsi="Arial" w:cs="Arial"/>
          <w:lang w:val="tr-TR"/>
        </w:rPr>
        <w:t xml:space="preserve">. </w:t>
      </w:r>
      <w:r w:rsidRPr="004143D8">
        <w:rPr>
          <w:rFonts w:ascii="Arial" w:hAnsi="Arial" w:cs="Arial"/>
          <w:lang w:val="tr-TR"/>
        </w:rPr>
        <w:t xml:space="preserve">2013 yılı itibariyle pazar dağılımı %46 - %54 </w:t>
      </w:r>
      <w:r w:rsidR="00DC71A8">
        <w:rPr>
          <w:rFonts w:ascii="Arial" w:hAnsi="Arial" w:cs="Arial"/>
          <w:lang w:val="tr-TR"/>
        </w:rPr>
        <w:t xml:space="preserve">oranları ile </w:t>
      </w:r>
      <w:r w:rsidRPr="004143D8">
        <w:rPr>
          <w:rFonts w:ascii="Arial" w:hAnsi="Arial" w:cs="Arial"/>
          <w:lang w:val="tr-TR"/>
        </w:rPr>
        <w:t>eşdeğer</w:t>
      </w:r>
      <w:r w:rsidR="008F7254">
        <w:rPr>
          <w:rFonts w:ascii="Arial" w:hAnsi="Arial" w:cs="Arial"/>
          <w:lang w:val="tr-TR"/>
        </w:rPr>
        <w:t xml:space="preserve"> ilaçlar lehine idi</w:t>
      </w:r>
      <w:r w:rsidRPr="004143D8">
        <w:rPr>
          <w:rFonts w:ascii="Arial" w:hAnsi="Arial" w:cs="Arial"/>
          <w:lang w:val="tr-TR"/>
        </w:rPr>
        <w:t>. Genel kullanıma açık hale gelen moleküllerden üretilen bu muadil ilaçlar her</w:t>
      </w:r>
      <w:r>
        <w:rPr>
          <w:rFonts w:ascii="Arial" w:hAnsi="Arial" w:cs="Arial"/>
          <w:lang w:val="tr-TR"/>
        </w:rPr>
        <w:t xml:space="preserve">hangi bir Ar-Ge </w:t>
      </w:r>
      <w:r w:rsidRPr="004143D8">
        <w:rPr>
          <w:rFonts w:ascii="Arial" w:hAnsi="Arial" w:cs="Arial"/>
          <w:lang w:val="tr-TR"/>
        </w:rPr>
        <w:t>maliyet</w:t>
      </w:r>
      <w:r w:rsidR="00DC71A8">
        <w:rPr>
          <w:rFonts w:ascii="Arial" w:hAnsi="Arial" w:cs="Arial"/>
          <w:lang w:val="tr-TR"/>
        </w:rPr>
        <w:t xml:space="preserve">i yüklenmek zorunda değildir. Dolayısıyla </w:t>
      </w:r>
      <w:r w:rsidRPr="004143D8">
        <w:rPr>
          <w:rFonts w:ascii="Arial" w:hAnsi="Arial" w:cs="Arial"/>
          <w:lang w:val="tr-TR"/>
        </w:rPr>
        <w:t xml:space="preserve">orijinal ilaçlara göre çok daha düşük </w:t>
      </w:r>
      <w:r w:rsidR="00DC71A8">
        <w:rPr>
          <w:rFonts w:ascii="Arial" w:hAnsi="Arial" w:cs="Arial"/>
          <w:lang w:val="tr-TR"/>
        </w:rPr>
        <w:t xml:space="preserve">fiyatlar </w:t>
      </w:r>
      <w:r w:rsidRPr="004143D8">
        <w:rPr>
          <w:rFonts w:ascii="Arial" w:hAnsi="Arial" w:cs="Arial"/>
          <w:lang w:val="tr-TR"/>
        </w:rPr>
        <w:t xml:space="preserve">belirlenebilmektedir. </w:t>
      </w:r>
    </w:p>
    <w:p w:rsidR="004143D8" w:rsidRPr="004143D8" w:rsidRDefault="004143D8" w:rsidP="004143D8">
      <w:pPr>
        <w:jc w:val="both"/>
        <w:rPr>
          <w:rFonts w:ascii="Arial" w:hAnsi="Arial" w:cs="Arial"/>
          <w:lang w:val="tr-TR"/>
        </w:rPr>
      </w:pPr>
    </w:p>
    <w:p w:rsidR="004143D8" w:rsidRPr="004143D8" w:rsidRDefault="004143D8" w:rsidP="004143D8">
      <w:pPr>
        <w:pStyle w:val="ListeParagraf"/>
        <w:numPr>
          <w:ilvl w:val="0"/>
          <w:numId w:val="1"/>
        </w:numPr>
        <w:spacing w:line="270" w:lineRule="exact"/>
        <w:jc w:val="both"/>
        <w:rPr>
          <w:rFonts w:ascii="Arial" w:hAnsi="Arial" w:cs="Arial"/>
          <w:b/>
          <w:lang w:val="tr-TR"/>
        </w:rPr>
      </w:pPr>
      <w:r w:rsidRPr="004143D8">
        <w:rPr>
          <w:rFonts w:ascii="Arial" w:hAnsi="Arial" w:cs="Arial"/>
          <w:b/>
          <w:lang w:val="tr-TR"/>
        </w:rPr>
        <w:t>Yeni pazar segmentlerinin geliştirilmesi gerekiyor</w:t>
      </w:r>
    </w:p>
    <w:p w:rsidR="004143D8" w:rsidRPr="004143D8" w:rsidRDefault="004143D8" w:rsidP="004143D8">
      <w:pPr>
        <w:jc w:val="both"/>
        <w:rPr>
          <w:rFonts w:ascii="Arial" w:hAnsi="Arial" w:cs="Arial"/>
          <w:lang w:val="tr-TR"/>
        </w:rPr>
      </w:pPr>
    </w:p>
    <w:p w:rsidR="004143D8" w:rsidRPr="004143D8" w:rsidRDefault="004143D8" w:rsidP="004143D8">
      <w:pPr>
        <w:spacing w:line="276" w:lineRule="auto"/>
        <w:jc w:val="both"/>
        <w:rPr>
          <w:rFonts w:ascii="Arial" w:hAnsi="Arial" w:cs="Arial"/>
          <w:lang w:val="tr-TR"/>
        </w:rPr>
      </w:pPr>
      <w:r w:rsidRPr="004143D8">
        <w:rPr>
          <w:rFonts w:ascii="Arial" w:hAnsi="Arial" w:cs="Arial"/>
          <w:lang w:val="tr-TR"/>
        </w:rPr>
        <w:t>İlaç şirketleri üretkenliklerini arttırmak için yaşlanan nüfus sebebiyle geliş</w:t>
      </w:r>
      <w:r w:rsidR="00DC71A8">
        <w:rPr>
          <w:rFonts w:ascii="Arial" w:hAnsi="Arial" w:cs="Arial"/>
          <w:lang w:val="tr-TR"/>
        </w:rPr>
        <w:t>en</w:t>
      </w:r>
      <w:r w:rsidRPr="004143D8">
        <w:rPr>
          <w:rFonts w:ascii="Arial" w:hAnsi="Arial" w:cs="Arial"/>
          <w:lang w:val="tr-TR"/>
        </w:rPr>
        <w:t xml:space="preserve"> ülkelere doğru yöneliyor. Ayrıca yeni sanayileşmiş ülkelerin sağlık politikaları sağlık hizmetlerine daha fazla erişim sağlıyor. </w:t>
      </w:r>
    </w:p>
    <w:p w:rsidR="004143D8" w:rsidRPr="004143D8" w:rsidRDefault="004143D8" w:rsidP="004143D8">
      <w:pPr>
        <w:spacing w:line="276" w:lineRule="auto"/>
        <w:jc w:val="both"/>
        <w:rPr>
          <w:rFonts w:ascii="Arial" w:hAnsi="Arial" w:cs="Arial"/>
          <w:lang w:val="tr-TR"/>
        </w:rPr>
      </w:pPr>
    </w:p>
    <w:p w:rsidR="004143D8" w:rsidRPr="004143D8" w:rsidRDefault="004143D8" w:rsidP="004143D8">
      <w:pPr>
        <w:spacing w:line="276" w:lineRule="auto"/>
        <w:jc w:val="both"/>
        <w:rPr>
          <w:rFonts w:ascii="Arial" w:hAnsi="Arial" w:cs="Arial"/>
        </w:rPr>
      </w:pPr>
      <w:r w:rsidRPr="004143D8">
        <w:rPr>
          <w:rFonts w:ascii="Arial" w:hAnsi="Arial" w:cs="Arial"/>
          <w:lang w:val="tr-TR"/>
        </w:rPr>
        <w:t>Coface sektör ekonomisti Khalid Aït-Yahia bu durumu şöyle açıklıyor: “</w:t>
      </w:r>
      <w:r w:rsidRPr="004143D8">
        <w:rPr>
          <w:rFonts w:ascii="Arial" w:hAnsi="Arial" w:cs="Arial"/>
          <w:i/>
          <w:lang w:val="tr-TR"/>
        </w:rPr>
        <w:t>Yükselen ilaç piyasaları Avrupalı ilaç şirketleri için yeni bir Eldorado haline geliyor. Gelişmiş ülkelerin aksine gelişen ülkelerde ilaç satışlarının 2017 yılına kadar çift haneli yıllık artış oranları kaydetmesi bekleniyor. Bu potansiyel Avrupa’daki bütçe kesintisi politikalarını kısmen dengeleyecektir. Sektördeki önemli gruplar geliş</w:t>
      </w:r>
      <w:r w:rsidR="00DC71A8">
        <w:rPr>
          <w:rFonts w:ascii="Arial" w:hAnsi="Arial" w:cs="Arial"/>
          <w:i/>
          <w:lang w:val="tr-TR"/>
        </w:rPr>
        <w:t>en</w:t>
      </w:r>
      <w:r w:rsidRPr="004143D8">
        <w:rPr>
          <w:rFonts w:ascii="Arial" w:hAnsi="Arial" w:cs="Arial"/>
          <w:i/>
          <w:lang w:val="tr-TR"/>
        </w:rPr>
        <w:t xml:space="preserve"> ülkelerde başaramadıkları büyümeyi yakalıyorlar.</w:t>
      </w:r>
      <w:r w:rsidRPr="004143D8">
        <w:rPr>
          <w:rFonts w:ascii="Arial" w:hAnsi="Arial" w:cs="Arial"/>
          <w:lang w:val="tr-TR"/>
        </w:rPr>
        <w:t xml:space="preserve">”       </w:t>
      </w:r>
    </w:p>
    <w:p w:rsidR="004143D8" w:rsidRPr="004143D8" w:rsidRDefault="004143D8" w:rsidP="004143D8">
      <w:pPr>
        <w:spacing w:line="276" w:lineRule="auto"/>
        <w:jc w:val="both"/>
        <w:rPr>
          <w:rFonts w:ascii="Arial" w:hAnsi="Arial" w:cs="Arial"/>
          <w:lang w:val="tr-TR"/>
        </w:rPr>
      </w:pPr>
    </w:p>
    <w:p w:rsidR="004143D8" w:rsidRDefault="004143D8" w:rsidP="004143D8">
      <w:pPr>
        <w:spacing w:line="276" w:lineRule="auto"/>
        <w:jc w:val="both"/>
        <w:rPr>
          <w:rFonts w:ascii="Arial" w:hAnsi="Arial" w:cs="Arial"/>
          <w:lang w:val="tr-TR"/>
        </w:rPr>
      </w:pPr>
      <w:r w:rsidRPr="004143D8">
        <w:rPr>
          <w:rFonts w:ascii="Arial" w:hAnsi="Arial" w:cs="Arial"/>
          <w:lang w:val="tr-TR"/>
        </w:rPr>
        <w:lastRenderedPageBreak/>
        <w:t xml:space="preserve">İlaç şirketlerinin benimsediği bir başka düşünce de Ar-Ge faaliyetlerinin daha küçük ancak daha değerli bir pazara taşınmasıdır. En karmaşık hastalıklar, ilaç sektöründe stratejik yeniden konumlanma için cazip hale geliyor çünkü tedavinin çok pahalı olduğu ve genellikle devlet tarafından karşılandığı hastalıkları kapsıyor. İlaç şirketleri büyüme stratejilerini onkoloji, diyabet ve kardiyovasküler hastalıklar gibi karmaşık tedavi alanlarında planlıyorlar. Avrupa’da tedavisi güç hastalıklar ile ilgili araştırmalar yürüten dünya çapındaki önemli araştırma merkezleri ile yapılan yakın işbirliği sayesinde bu beklenti ilaç şirketleri için bir gerçekliğe dönüşüyor. </w:t>
      </w:r>
    </w:p>
    <w:p w:rsidR="004143D8" w:rsidRDefault="004143D8" w:rsidP="004143D8">
      <w:pPr>
        <w:spacing w:line="276" w:lineRule="auto"/>
        <w:jc w:val="both"/>
        <w:rPr>
          <w:rFonts w:ascii="Arial" w:hAnsi="Arial" w:cs="Arial"/>
          <w:lang w:val="tr-TR"/>
        </w:rPr>
      </w:pPr>
    </w:p>
    <w:p w:rsidR="004143D8" w:rsidRDefault="004143D8" w:rsidP="004143D8">
      <w:pPr>
        <w:spacing w:line="276" w:lineRule="auto"/>
        <w:jc w:val="both"/>
        <w:rPr>
          <w:rFonts w:ascii="Arial" w:hAnsi="Arial" w:cs="Arial"/>
          <w:lang w:val="tr-TR"/>
        </w:rPr>
      </w:pPr>
    </w:p>
    <w:p w:rsidR="004143D8" w:rsidRDefault="004143D8" w:rsidP="004143D8">
      <w:pPr>
        <w:spacing w:line="276" w:lineRule="auto"/>
        <w:jc w:val="both"/>
        <w:rPr>
          <w:rFonts w:ascii="Arial" w:hAnsi="Arial" w:cs="Arial"/>
          <w:lang w:val="tr-TR"/>
        </w:rPr>
      </w:pPr>
    </w:p>
    <w:p w:rsidR="004143D8" w:rsidRDefault="004143D8" w:rsidP="004143D8">
      <w:pPr>
        <w:spacing w:line="276" w:lineRule="auto"/>
        <w:jc w:val="both"/>
        <w:rPr>
          <w:rFonts w:ascii="Arial" w:hAnsi="Arial" w:cs="Arial"/>
          <w:lang w:val="tr-TR"/>
        </w:rPr>
      </w:pPr>
    </w:p>
    <w:p w:rsidR="004143D8" w:rsidRDefault="004143D8" w:rsidP="004143D8">
      <w:pPr>
        <w:spacing w:line="276" w:lineRule="auto"/>
        <w:jc w:val="both"/>
        <w:rPr>
          <w:rFonts w:ascii="Arial" w:hAnsi="Arial" w:cs="Arial"/>
          <w:lang w:val="tr-TR"/>
        </w:rPr>
      </w:pPr>
    </w:p>
    <w:p w:rsidR="004143D8" w:rsidRDefault="004143D8" w:rsidP="004143D8">
      <w:pPr>
        <w:spacing w:line="276" w:lineRule="auto"/>
        <w:jc w:val="both"/>
        <w:rPr>
          <w:rFonts w:ascii="Arial" w:hAnsi="Arial" w:cs="Arial"/>
          <w:lang w:val="tr-TR"/>
        </w:rPr>
      </w:pPr>
    </w:p>
    <w:p w:rsidR="004143D8" w:rsidRDefault="004143D8" w:rsidP="004143D8">
      <w:pPr>
        <w:spacing w:line="276" w:lineRule="auto"/>
        <w:jc w:val="both"/>
        <w:rPr>
          <w:rFonts w:ascii="Arial" w:hAnsi="Arial" w:cs="Arial"/>
          <w:lang w:val="tr-TR"/>
        </w:rPr>
      </w:pPr>
    </w:p>
    <w:p w:rsidR="004143D8" w:rsidRPr="004143D8" w:rsidRDefault="004143D8" w:rsidP="004143D8">
      <w:pPr>
        <w:spacing w:line="276" w:lineRule="auto"/>
        <w:jc w:val="both"/>
        <w:rPr>
          <w:rFonts w:ascii="Arial" w:hAnsi="Arial" w:cs="Arial"/>
          <w:lang w:val="tr-TR"/>
        </w:rPr>
      </w:pPr>
    </w:p>
    <w:p w:rsidR="004143D8" w:rsidRPr="004143D8" w:rsidRDefault="004143D8" w:rsidP="004143D8">
      <w:pPr>
        <w:jc w:val="both"/>
        <w:rPr>
          <w:rFonts w:ascii="Arial" w:hAnsi="Arial" w:cs="Arial"/>
          <w:lang w:val="tr-TR"/>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Default="004143D8" w:rsidP="004143D8">
      <w:pPr>
        <w:pStyle w:val="AralkYok"/>
        <w:jc w:val="both"/>
        <w:rPr>
          <w:rFonts w:ascii="Arial" w:hAnsi="Arial" w:cs="Arial"/>
          <w:b/>
          <w:sz w:val="18"/>
          <w:szCs w:val="18"/>
          <w:u w:val="single"/>
        </w:rPr>
      </w:pPr>
    </w:p>
    <w:p w:rsidR="004143D8" w:rsidRPr="004C1AA1" w:rsidRDefault="004143D8" w:rsidP="004143D8">
      <w:pPr>
        <w:pStyle w:val="AralkYok"/>
        <w:jc w:val="both"/>
        <w:rPr>
          <w:rFonts w:ascii="Arial" w:hAnsi="Arial" w:cs="Arial"/>
          <w:b/>
          <w:sz w:val="18"/>
          <w:szCs w:val="18"/>
          <w:u w:val="single"/>
        </w:rPr>
      </w:pPr>
      <w:r w:rsidRPr="004C1AA1">
        <w:rPr>
          <w:rFonts w:ascii="Arial" w:hAnsi="Arial" w:cs="Arial"/>
          <w:b/>
          <w:sz w:val="18"/>
          <w:szCs w:val="18"/>
          <w:u w:val="single"/>
        </w:rPr>
        <w:t xml:space="preserve">İletişim ve Bilgi için: </w:t>
      </w:r>
    </w:p>
    <w:p w:rsidR="004143D8" w:rsidRPr="004C1AA1" w:rsidRDefault="004143D8" w:rsidP="004143D8">
      <w:pPr>
        <w:pStyle w:val="AralkYok"/>
        <w:jc w:val="both"/>
        <w:rPr>
          <w:rFonts w:ascii="Arial" w:eastAsia="Times New Roman" w:hAnsi="Arial" w:cs="Arial"/>
          <w:color w:val="000000"/>
          <w:sz w:val="18"/>
          <w:szCs w:val="18"/>
        </w:rPr>
      </w:pPr>
      <w:r w:rsidRPr="004C1AA1">
        <w:rPr>
          <w:rFonts w:ascii="Arial" w:eastAsia="Times New Roman" w:hAnsi="Arial" w:cs="Arial"/>
          <w:color w:val="000000"/>
          <w:sz w:val="18"/>
          <w:szCs w:val="18"/>
        </w:rPr>
        <w:t> </w:t>
      </w:r>
    </w:p>
    <w:p w:rsidR="004143D8" w:rsidRPr="004C1AA1" w:rsidRDefault="004143D8" w:rsidP="004143D8">
      <w:pPr>
        <w:pStyle w:val="AralkYok"/>
        <w:jc w:val="both"/>
        <w:rPr>
          <w:rFonts w:ascii="Arial" w:eastAsia="Times New Roman" w:hAnsi="Arial" w:cs="Arial"/>
          <w:color w:val="000000"/>
          <w:sz w:val="18"/>
          <w:szCs w:val="18"/>
        </w:rPr>
      </w:pPr>
      <w:r w:rsidRPr="004C1AA1">
        <w:rPr>
          <w:rFonts w:ascii="Arial" w:eastAsia="Times New Roman" w:hAnsi="Arial" w:cs="Arial"/>
          <w:bCs/>
          <w:color w:val="000000"/>
          <w:sz w:val="18"/>
          <w:szCs w:val="18"/>
        </w:rPr>
        <w:t>Mari MUTAFYAN</w:t>
      </w:r>
    </w:p>
    <w:p w:rsidR="004143D8" w:rsidRPr="004C1AA1" w:rsidRDefault="004143D8" w:rsidP="004143D8">
      <w:pPr>
        <w:pStyle w:val="AralkYok"/>
        <w:jc w:val="both"/>
        <w:rPr>
          <w:rFonts w:ascii="Arial" w:eastAsia="Times New Roman" w:hAnsi="Arial" w:cs="Arial"/>
          <w:color w:val="000000"/>
          <w:sz w:val="18"/>
          <w:szCs w:val="18"/>
        </w:rPr>
      </w:pPr>
      <w:r w:rsidRPr="004C1AA1">
        <w:rPr>
          <w:rFonts w:ascii="Arial" w:eastAsia="Times New Roman" w:hAnsi="Arial" w:cs="Arial"/>
          <w:color w:val="000000"/>
          <w:sz w:val="18"/>
          <w:szCs w:val="18"/>
        </w:rPr>
        <w:t>T: +90 533 034 0440   mari@ifmmedya.com</w:t>
      </w:r>
    </w:p>
    <w:p w:rsidR="004143D8" w:rsidRPr="004C1AA1" w:rsidRDefault="004143D8" w:rsidP="004143D8">
      <w:pPr>
        <w:pStyle w:val="AralkYok"/>
        <w:jc w:val="both"/>
        <w:rPr>
          <w:rFonts w:ascii="Arial" w:eastAsia="Times New Roman" w:hAnsi="Arial" w:cs="Arial"/>
          <w:color w:val="000000"/>
          <w:sz w:val="18"/>
          <w:szCs w:val="18"/>
        </w:rPr>
      </w:pPr>
      <w:r w:rsidRPr="004C1AA1">
        <w:rPr>
          <w:rFonts w:ascii="Arial" w:eastAsia="Times New Roman" w:hAnsi="Arial" w:cs="Arial"/>
          <w:color w:val="000000"/>
          <w:sz w:val="18"/>
          <w:szCs w:val="18"/>
        </w:rPr>
        <w:t> </w:t>
      </w:r>
    </w:p>
    <w:p w:rsidR="004143D8" w:rsidRPr="004C1AA1" w:rsidRDefault="004143D8" w:rsidP="004143D8">
      <w:pPr>
        <w:pStyle w:val="AralkYok"/>
        <w:jc w:val="both"/>
        <w:rPr>
          <w:rFonts w:ascii="Arial" w:eastAsia="Times New Roman" w:hAnsi="Arial" w:cs="Arial"/>
          <w:sz w:val="18"/>
          <w:szCs w:val="18"/>
        </w:rPr>
      </w:pPr>
      <w:r w:rsidRPr="004C1AA1">
        <w:rPr>
          <w:rFonts w:ascii="Arial" w:eastAsia="Times New Roman" w:hAnsi="Arial" w:cs="Arial"/>
          <w:bCs/>
          <w:sz w:val="18"/>
          <w:szCs w:val="18"/>
        </w:rPr>
        <w:t>Burcu ATASOY</w:t>
      </w:r>
    </w:p>
    <w:p w:rsidR="004143D8" w:rsidRPr="004C1AA1" w:rsidRDefault="004143D8" w:rsidP="004143D8">
      <w:pPr>
        <w:pStyle w:val="AralkYok"/>
        <w:jc w:val="both"/>
        <w:rPr>
          <w:rFonts w:ascii="Arial" w:eastAsia="Times New Roman" w:hAnsi="Arial" w:cs="Arial"/>
          <w:sz w:val="18"/>
          <w:szCs w:val="18"/>
        </w:rPr>
      </w:pPr>
      <w:r w:rsidRPr="004C1AA1">
        <w:rPr>
          <w:rFonts w:ascii="Arial" w:eastAsia="Times New Roman" w:hAnsi="Arial" w:cs="Arial"/>
          <w:sz w:val="18"/>
          <w:szCs w:val="18"/>
        </w:rPr>
        <w:t>T: +90 532 664 8691   burcu@ifmmedya.com    </w:t>
      </w:r>
    </w:p>
    <w:p w:rsidR="004143D8" w:rsidRPr="004C1AA1" w:rsidRDefault="004143D8" w:rsidP="004143D8">
      <w:pPr>
        <w:jc w:val="both"/>
        <w:rPr>
          <w:rFonts w:ascii="Arial" w:hAnsi="Arial" w:cs="Arial"/>
          <w:sz w:val="18"/>
          <w:szCs w:val="18"/>
        </w:rPr>
      </w:pPr>
    </w:p>
    <w:p w:rsidR="004143D8" w:rsidRPr="004C1AA1" w:rsidRDefault="004143D8" w:rsidP="004143D8">
      <w:pPr>
        <w:jc w:val="both"/>
        <w:rPr>
          <w:rFonts w:ascii="Arial" w:hAnsi="Arial" w:cs="Arial"/>
          <w:sz w:val="18"/>
          <w:szCs w:val="18"/>
        </w:rPr>
      </w:pPr>
    </w:p>
    <w:p w:rsidR="004143D8" w:rsidRPr="004C1AA1" w:rsidRDefault="004143D8" w:rsidP="004143D8">
      <w:pPr>
        <w:jc w:val="both"/>
        <w:rPr>
          <w:rFonts w:ascii="Arial" w:hAnsi="Arial" w:cs="Arial"/>
          <w:sz w:val="18"/>
          <w:szCs w:val="18"/>
        </w:rPr>
      </w:pPr>
    </w:p>
    <w:p w:rsidR="004143D8" w:rsidRPr="004C1AA1" w:rsidRDefault="004143D8" w:rsidP="004143D8">
      <w:pPr>
        <w:pStyle w:val="AralkYok"/>
        <w:jc w:val="both"/>
        <w:rPr>
          <w:rFonts w:ascii="Arial" w:hAnsi="Arial" w:cs="Arial"/>
          <w:b/>
          <w:color w:val="000000"/>
          <w:sz w:val="18"/>
          <w:szCs w:val="18"/>
          <w:u w:val="single"/>
        </w:rPr>
      </w:pPr>
    </w:p>
    <w:p w:rsidR="004143D8" w:rsidRPr="004C1AA1" w:rsidRDefault="004143D8" w:rsidP="004143D8">
      <w:pPr>
        <w:pStyle w:val="AralkYok"/>
        <w:jc w:val="both"/>
        <w:rPr>
          <w:rFonts w:ascii="Arial" w:hAnsi="Arial" w:cs="Arial"/>
          <w:b/>
          <w:color w:val="000000"/>
          <w:sz w:val="18"/>
          <w:szCs w:val="18"/>
          <w:u w:val="single"/>
        </w:rPr>
      </w:pPr>
    </w:p>
    <w:p w:rsidR="004143D8" w:rsidRPr="004C1AA1" w:rsidRDefault="004143D8" w:rsidP="004143D8">
      <w:pPr>
        <w:pStyle w:val="AralkYok"/>
        <w:jc w:val="both"/>
        <w:rPr>
          <w:rFonts w:ascii="Arial" w:hAnsi="Arial" w:cs="Arial"/>
          <w:b/>
          <w:color w:val="000000"/>
          <w:sz w:val="18"/>
          <w:szCs w:val="18"/>
          <w:u w:val="single"/>
        </w:rPr>
      </w:pPr>
    </w:p>
    <w:p w:rsidR="004143D8" w:rsidRPr="004C1AA1" w:rsidRDefault="004143D8" w:rsidP="004143D8">
      <w:pPr>
        <w:pStyle w:val="AralkYok"/>
        <w:jc w:val="both"/>
        <w:rPr>
          <w:rFonts w:ascii="Arial" w:hAnsi="Arial" w:cs="Arial"/>
          <w:b/>
          <w:color w:val="000000"/>
          <w:sz w:val="18"/>
          <w:szCs w:val="18"/>
          <w:u w:val="single"/>
        </w:rPr>
      </w:pPr>
    </w:p>
    <w:p w:rsidR="004143D8" w:rsidRPr="004C1AA1" w:rsidRDefault="004143D8" w:rsidP="004143D8">
      <w:pPr>
        <w:pStyle w:val="AralkYok"/>
        <w:jc w:val="both"/>
        <w:rPr>
          <w:rFonts w:ascii="Arial" w:hAnsi="Arial" w:cs="Arial"/>
          <w:b/>
          <w:color w:val="000000"/>
          <w:sz w:val="18"/>
          <w:szCs w:val="18"/>
          <w:u w:val="single"/>
        </w:rPr>
      </w:pPr>
    </w:p>
    <w:p w:rsidR="004143D8" w:rsidRPr="004C1AA1" w:rsidRDefault="004143D8" w:rsidP="004143D8">
      <w:pPr>
        <w:pStyle w:val="AralkYok"/>
        <w:jc w:val="both"/>
        <w:rPr>
          <w:rFonts w:ascii="Arial" w:hAnsi="Arial" w:cs="Arial"/>
          <w:b/>
          <w:color w:val="000000"/>
          <w:sz w:val="18"/>
          <w:szCs w:val="18"/>
          <w:u w:val="single"/>
        </w:rPr>
      </w:pPr>
      <w:r w:rsidRPr="004C1AA1">
        <w:rPr>
          <w:rFonts w:ascii="Arial" w:hAnsi="Arial" w:cs="Arial"/>
          <w:b/>
          <w:color w:val="000000"/>
          <w:sz w:val="18"/>
          <w:szCs w:val="18"/>
          <w:u w:val="single"/>
        </w:rPr>
        <w:t>Coface hakkında</w:t>
      </w:r>
    </w:p>
    <w:p w:rsidR="004143D8" w:rsidRPr="004C1AA1" w:rsidRDefault="004143D8" w:rsidP="004143D8">
      <w:pPr>
        <w:pStyle w:val="AralkYok"/>
        <w:jc w:val="both"/>
        <w:rPr>
          <w:rFonts w:ascii="Arial" w:hAnsi="Arial" w:cs="Arial"/>
          <w:color w:val="000000"/>
          <w:sz w:val="18"/>
          <w:szCs w:val="18"/>
          <w:u w:val="single"/>
        </w:rPr>
      </w:pPr>
    </w:p>
    <w:p w:rsidR="004143D8" w:rsidRPr="004C1AA1" w:rsidRDefault="004143D8" w:rsidP="004143D8">
      <w:pPr>
        <w:pStyle w:val="AralkYok"/>
        <w:jc w:val="both"/>
        <w:rPr>
          <w:rFonts w:ascii="Arial" w:hAnsi="Arial" w:cs="Arial"/>
          <w:color w:val="000000"/>
          <w:sz w:val="18"/>
          <w:szCs w:val="18"/>
        </w:rPr>
      </w:pPr>
      <w:r w:rsidRPr="004C1AA1">
        <w:rPr>
          <w:rFonts w:ascii="Arial" w:hAnsi="Arial" w:cs="Arial"/>
          <w:color w:val="000000"/>
          <w:sz w:val="18"/>
          <w:szCs w:val="18"/>
        </w:rPr>
        <w:lastRenderedPageBreak/>
        <w:t>Ticari alacak (kredi) sigortası alanında dünyadaki en yaygın şirket olan Coface Grubu, firmalara hem iç pazar hem de ihracat müşterilerinden doğan alacaklarının ödenmeme (temerrüt) riskine karşı küresel çözümler sunmaktadır. Grup 2013 yılında 4440 çalışanının desteği ile 1.440 milyar €’luk konsolide ciro açıklamıştır. Doğrudan veya dolaylı olarak 97 ülkede faaliyet gösteren Grup, 200’den fazla ülkedeki 37.000’in üzerinde şirketin ticaretini güvence altına almaktadır. Coface şirketlerin ödeme davranışları hakkındaki bilgi birikimine ve müşterilerin ve borçluların yakınında konumlanan 350 risk değerlendirme uzmanının uzmanlık birikimine dayalı olarak her üç ayda bir 160 ülkeye yönelik ülke risk değerlendirmeleri yayınlamaktadır.</w:t>
      </w:r>
    </w:p>
    <w:p w:rsidR="004143D8" w:rsidRPr="004C1AA1" w:rsidRDefault="004143D8" w:rsidP="004143D8">
      <w:pPr>
        <w:pStyle w:val="AralkYok"/>
        <w:jc w:val="both"/>
        <w:rPr>
          <w:rFonts w:ascii="Arial" w:hAnsi="Arial" w:cs="Arial"/>
          <w:color w:val="000000"/>
          <w:sz w:val="18"/>
          <w:szCs w:val="18"/>
        </w:rPr>
      </w:pPr>
    </w:p>
    <w:p w:rsidR="004143D8" w:rsidRPr="004C1AA1" w:rsidRDefault="004143D8" w:rsidP="004143D8">
      <w:pPr>
        <w:pStyle w:val="AralkYok"/>
        <w:jc w:val="both"/>
        <w:rPr>
          <w:rFonts w:ascii="Arial" w:hAnsi="Arial" w:cs="Arial"/>
          <w:color w:val="000000"/>
          <w:sz w:val="18"/>
          <w:szCs w:val="18"/>
        </w:rPr>
      </w:pPr>
      <w:r w:rsidRPr="004C1AA1">
        <w:rPr>
          <w:rFonts w:ascii="Arial" w:hAnsi="Arial" w:cs="Arial"/>
          <w:color w:val="000000"/>
          <w:sz w:val="18"/>
          <w:szCs w:val="18"/>
        </w:rPr>
        <w:t>Coface Fransa’da Fransız Hükümeti adına ihracat kamu garantilerini yönetmektedir.</w:t>
      </w:r>
    </w:p>
    <w:p w:rsidR="004143D8" w:rsidRPr="004C1AA1" w:rsidRDefault="004143D8" w:rsidP="004143D8">
      <w:pPr>
        <w:pStyle w:val="AralkYok"/>
        <w:jc w:val="both"/>
        <w:rPr>
          <w:rFonts w:ascii="Arial" w:hAnsi="Arial" w:cs="Arial"/>
          <w:sz w:val="18"/>
          <w:szCs w:val="18"/>
        </w:rPr>
      </w:pPr>
    </w:p>
    <w:p w:rsidR="004143D8" w:rsidRPr="004C1AA1" w:rsidRDefault="004143D8" w:rsidP="004143D8">
      <w:pPr>
        <w:pStyle w:val="AralkYok"/>
        <w:jc w:val="both"/>
        <w:rPr>
          <w:rFonts w:ascii="Arial" w:hAnsi="Arial" w:cs="Arial"/>
          <w:color w:val="0000FF"/>
          <w:sz w:val="18"/>
          <w:szCs w:val="18"/>
          <w:u w:val="single"/>
          <w:lang w:val="en-US" w:eastAsia="en-US"/>
        </w:rPr>
      </w:pPr>
      <w:r w:rsidRPr="004C1AA1">
        <w:rPr>
          <w:rFonts w:ascii="Arial" w:hAnsi="Arial" w:cs="Arial"/>
          <w:noProof/>
          <w:sz w:val="18"/>
          <w:szCs w:val="18"/>
          <w:lang w:val="tr-TR" w:eastAsia="tr-TR"/>
        </w:rPr>
        <w:drawing>
          <wp:anchor distT="0" distB="0" distL="114300" distR="114300" simplePos="0" relativeHeight="251663360" behindDoc="0" locked="0" layoutInCell="1" allowOverlap="1" wp14:anchorId="139E0A14" wp14:editId="30F553EB">
            <wp:simplePos x="0" y="0"/>
            <wp:positionH relativeFrom="column">
              <wp:posOffset>4840605</wp:posOffset>
            </wp:positionH>
            <wp:positionV relativeFrom="paragraph">
              <wp:posOffset>74295</wp:posOffset>
            </wp:positionV>
            <wp:extent cx="519430" cy="514350"/>
            <wp:effectExtent l="0" t="0" r="0" b="0"/>
            <wp:wrapNone/>
            <wp:docPr id="8" name="Resim 8" descr="COFA-listed-emblem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OFA-listed-emblems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430" cy="5143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r w:rsidRPr="004C1AA1">
          <w:rPr>
            <w:rFonts w:ascii="Arial" w:hAnsi="Arial" w:cs="Arial"/>
            <w:sz w:val="18"/>
            <w:szCs w:val="18"/>
            <w:lang w:val="en-US" w:eastAsia="en-US"/>
          </w:rPr>
          <w:t>www.coface.com</w:t>
        </w:r>
      </w:hyperlink>
    </w:p>
    <w:p w:rsidR="004143D8" w:rsidRPr="004C1AA1" w:rsidRDefault="004143D8" w:rsidP="004143D8">
      <w:pPr>
        <w:pStyle w:val="AralkYok"/>
        <w:jc w:val="both"/>
        <w:rPr>
          <w:rFonts w:ascii="Arial" w:hAnsi="Arial" w:cs="Arial"/>
          <w:color w:val="0000FF"/>
          <w:sz w:val="18"/>
          <w:szCs w:val="18"/>
          <w:u w:val="single"/>
          <w:lang w:val="en-US" w:eastAsia="en-US"/>
        </w:rPr>
      </w:pPr>
    </w:p>
    <w:p w:rsidR="004143D8" w:rsidRPr="004C1AA1" w:rsidRDefault="004143D8" w:rsidP="004143D8">
      <w:pPr>
        <w:pStyle w:val="AralkYok"/>
        <w:jc w:val="both"/>
        <w:rPr>
          <w:rFonts w:ascii="Arial" w:hAnsi="Arial" w:cs="Arial"/>
          <w:sz w:val="18"/>
          <w:szCs w:val="18"/>
          <w:lang w:val="en-US" w:eastAsia="en-US"/>
        </w:rPr>
      </w:pPr>
      <w:r w:rsidRPr="004C1AA1">
        <w:rPr>
          <w:rFonts w:ascii="Arial" w:hAnsi="Arial" w:cs="Arial"/>
          <w:sz w:val="18"/>
          <w:szCs w:val="18"/>
          <w:lang w:val="en-US" w:eastAsia="en-US"/>
        </w:rPr>
        <w:t>Coface SA. is listed on Euronext Paris – Compartment A</w:t>
      </w:r>
    </w:p>
    <w:p w:rsidR="004143D8" w:rsidRPr="004C1AA1" w:rsidRDefault="004143D8" w:rsidP="004143D8">
      <w:pPr>
        <w:pStyle w:val="AralkYok"/>
        <w:jc w:val="both"/>
        <w:rPr>
          <w:rFonts w:ascii="Arial" w:hAnsi="Arial" w:cs="Arial"/>
          <w:sz w:val="18"/>
          <w:szCs w:val="18"/>
          <w:lang w:val="en-US" w:eastAsia="en-US"/>
        </w:rPr>
      </w:pPr>
      <w:r w:rsidRPr="004C1AA1">
        <w:rPr>
          <w:rFonts w:ascii="Arial" w:hAnsi="Arial" w:cs="Arial"/>
          <w:sz w:val="18"/>
          <w:szCs w:val="18"/>
          <w:lang w:val="en-US" w:eastAsia="en-US"/>
        </w:rPr>
        <w:t>ISIN: FR0010667147 / Ticker: COFA</w:t>
      </w:r>
    </w:p>
    <w:p w:rsidR="004143D8" w:rsidRPr="004C1AA1" w:rsidRDefault="004143D8" w:rsidP="004143D8">
      <w:pPr>
        <w:pStyle w:val="AralkYok"/>
        <w:jc w:val="both"/>
        <w:rPr>
          <w:rFonts w:ascii="Arial" w:hAnsi="Arial" w:cs="Arial"/>
          <w:sz w:val="18"/>
          <w:szCs w:val="18"/>
        </w:rPr>
      </w:pPr>
    </w:p>
    <w:p w:rsidR="004143D8" w:rsidRPr="004C1AA1" w:rsidRDefault="004143D8" w:rsidP="004143D8">
      <w:pPr>
        <w:pStyle w:val="AralkYok"/>
        <w:jc w:val="both"/>
        <w:rPr>
          <w:rFonts w:ascii="Arial" w:hAnsi="Arial" w:cs="Arial"/>
          <w:sz w:val="18"/>
          <w:szCs w:val="18"/>
        </w:rPr>
      </w:pPr>
    </w:p>
    <w:p w:rsidR="004143D8" w:rsidRPr="004C1AA1" w:rsidRDefault="004143D8" w:rsidP="004143D8">
      <w:pPr>
        <w:pStyle w:val="AralkYok"/>
        <w:jc w:val="both"/>
        <w:rPr>
          <w:rFonts w:ascii="Arial" w:hAnsi="Arial" w:cs="Arial"/>
          <w:color w:val="000000"/>
          <w:sz w:val="18"/>
          <w:szCs w:val="18"/>
        </w:rPr>
      </w:pPr>
      <w:r w:rsidRPr="004C1AA1">
        <w:rPr>
          <w:rFonts w:ascii="Arial" w:hAnsi="Arial" w:cs="Arial"/>
          <w:color w:val="000000"/>
          <w:sz w:val="18"/>
          <w:szCs w:val="18"/>
        </w:rPr>
        <w:t>Coface Türkiye 1997 yılında ülkemizde faaliyetlerine başlayarak, 2007 yılında Türkiye’nin ticari alacak sigortası alanında faaliyet gösteren ilk şirketi olan Coface Sigorta A.Ş.’yi kurmuştur.</w:t>
      </w:r>
    </w:p>
    <w:p w:rsidR="004143D8" w:rsidRPr="004C1AA1" w:rsidRDefault="004143D8" w:rsidP="004143D8">
      <w:pPr>
        <w:pStyle w:val="AralkYok"/>
        <w:jc w:val="both"/>
        <w:rPr>
          <w:rFonts w:ascii="Arial" w:hAnsi="Arial" w:cs="Arial"/>
          <w:color w:val="000000"/>
          <w:sz w:val="18"/>
          <w:szCs w:val="18"/>
        </w:rPr>
      </w:pPr>
    </w:p>
    <w:p w:rsidR="004143D8" w:rsidRPr="004C1AA1" w:rsidRDefault="004143D8" w:rsidP="004143D8">
      <w:pPr>
        <w:ind w:right="141"/>
        <w:jc w:val="both"/>
        <w:rPr>
          <w:rFonts w:ascii="Arial" w:hAnsi="Arial" w:cs="Arial"/>
          <w:b/>
          <w:color w:val="000000"/>
          <w:sz w:val="18"/>
          <w:szCs w:val="18"/>
          <w:u w:val="single"/>
        </w:rPr>
      </w:pPr>
      <w:r w:rsidRPr="004C1AA1">
        <w:rPr>
          <w:rFonts w:ascii="Arial" w:hAnsi="Arial" w:cs="Arial"/>
          <w:color w:val="000000"/>
          <w:sz w:val="18"/>
          <w:szCs w:val="18"/>
        </w:rPr>
        <w:t>Coface Türkiye, yurt içi ve yurt dışı ticaret ilişkilerini kolaylaştırma ve geliştirme misyonu doğrultusunda, Türkiye’deki tüm şirketlerin faydalanabileceği geniş bir hizmet yelpazesi ile çalışmaktadır. Türkiye’yi yurt içi ticari alacak sigortası kavramıyla tanıştıran Coface Türkiye, uluslararası şirketlerden küçük ve orta boy işletmelere kadar geniş bir müşteri kitlesine hizmet vermektedir. Böylece Coface, yurt içi ve ihracat ticari alacak sigortasının yanı sıra, ticari risk değerlendirmesi ve alacak yönetimi konularında da sunduğu hizmetlerle kendini rakiplerinden farklı kılmaktadır.</w:t>
      </w:r>
    </w:p>
    <w:p w:rsidR="00875BBD" w:rsidRPr="004143D8" w:rsidRDefault="00875BBD" w:rsidP="004143D8"/>
    <w:sectPr w:rsidR="00875BBD" w:rsidRPr="004143D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8D8" w:rsidRDefault="00FE38D8" w:rsidP="004143D8">
      <w:r>
        <w:separator/>
      </w:r>
    </w:p>
  </w:endnote>
  <w:endnote w:type="continuationSeparator" w:id="0">
    <w:p w:rsidR="00FE38D8" w:rsidRDefault="00FE38D8" w:rsidP="0041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8D8" w:rsidRDefault="00FE38D8" w:rsidP="004143D8">
      <w:r>
        <w:separator/>
      </w:r>
    </w:p>
  </w:footnote>
  <w:footnote w:type="continuationSeparator" w:id="0">
    <w:p w:rsidR="00FE38D8" w:rsidRDefault="00FE38D8" w:rsidP="004143D8">
      <w:r>
        <w:continuationSeparator/>
      </w:r>
    </w:p>
  </w:footnote>
  <w:footnote w:id="1">
    <w:p w:rsidR="004143D8" w:rsidRPr="00B4262D" w:rsidRDefault="004143D8" w:rsidP="004143D8">
      <w:pPr>
        <w:pStyle w:val="DipnotMetni"/>
        <w:rPr>
          <w:lang w:val="tr-TR"/>
        </w:rPr>
      </w:pPr>
      <w:r>
        <w:rPr>
          <w:rStyle w:val="DipnotBavurusu"/>
        </w:rPr>
        <w:footnoteRef/>
      </w:r>
      <w:r>
        <w:t xml:space="preserve"> </w:t>
      </w:r>
      <w:r>
        <w:rPr>
          <w:rFonts w:ascii="Arial" w:hAnsi="Arial" w:cs="Arial"/>
          <w:sz w:val="20"/>
          <w:szCs w:val="20"/>
          <w:lang w:val="tr-TR"/>
        </w:rPr>
        <w:t>VBM: İlaç fiyatı ve geri ödeme oranı, ilacın tıbbi etki</w:t>
      </w:r>
      <w:r w:rsidR="005C4A7E">
        <w:rPr>
          <w:rFonts w:ascii="Arial" w:hAnsi="Arial" w:cs="Arial"/>
          <w:sz w:val="20"/>
          <w:szCs w:val="20"/>
          <w:lang w:val="tr-TR"/>
        </w:rPr>
        <w:t>sine</w:t>
      </w:r>
      <w:bookmarkStart w:id="0" w:name="_GoBack"/>
      <w:bookmarkEnd w:id="0"/>
      <w:r>
        <w:rPr>
          <w:rFonts w:ascii="Arial" w:hAnsi="Arial" w:cs="Arial"/>
          <w:sz w:val="20"/>
          <w:szCs w:val="20"/>
          <w:lang w:val="tr-TR"/>
        </w:rPr>
        <w:t xml:space="preserve">  (ki bunun tespiti oldukça güçtür) dayalı olarak devlet tarafından belirlenmektedir.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3D8" w:rsidRDefault="004143D8">
    <w:pPr>
      <w:pStyle w:val="stbilgi"/>
    </w:pPr>
    <w:r w:rsidRPr="004143D8">
      <w:rPr>
        <w:noProof/>
        <w:lang w:val="tr-TR" w:eastAsia="tr-TR"/>
      </w:rPr>
      <w:drawing>
        <wp:inline distT="0" distB="0" distL="0" distR="0">
          <wp:extent cx="6575634" cy="1610360"/>
          <wp:effectExtent l="0" t="0" r="0" b="8890"/>
          <wp:docPr id="2" name="Resim 2" descr="C:\Users\plnbyrm\Desktop\ifmmedya\foto\487068_558324230845529_13966312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nbyrm\Desktop\ifmmedya\foto\487068_558324230845529_1396631229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64" cy="16111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9759A"/>
    <w:multiLevelType w:val="hybridMultilevel"/>
    <w:tmpl w:val="36828932"/>
    <w:lvl w:ilvl="0" w:tplc="A6F47C82">
      <w:start w:val="2008"/>
      <w:numFmt w:val="bullet"/>
      <w:lvlText w:val=""/>
      <w:lvlJc w:val="left"/>
      <w:pPr>
        <w:ind w:left="720" w:hanging="360"/>
      </w:pPr>
      <w:rPr>
        <w:rFonts w:ascii="Symbol" w:eastAsia="MS Mincho" w:hAnsi="Symbol" w:cs="Arial"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70"/>
    <w:rsid w:val="00161460"/>
    <w:rsid w:val="0034483D"/>
    <w:rsid w:val="004143D8"/>
    <w:rsid w:val="00416AD2"/>
    <w:rsid w:val="005C4A7E"/>
    <w:rsid w:val="006E5916"/>
    <w:rsid w:val="006F0E27"/>
    <w:rsid w:val="00865BE2"/>
    <w:rsid w:val="00875BBD"/>
    <w:rsid w:val="008F7254"/>
    <w:rsid w:val="00AF2575"/>
    <w:rsid w:val="00C26A3A"/>
    <w:rsid w:val="00C51EC3"/>
    <w:rsid w:val="00CF2502"/>
    <w:rsid w:val="00DC71A8"/>
    <w:rsid w:val="00E92170"/>
    <w:rsid w:val="00EC36A9"/>
    <w:rsid w:val="00FE3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D8"/>
    <w:pPr>
      <w:spacing w:after="0" w:line="240" w:lineRule="auto"/>
    </w:pPr>
    <w:rPr>
      <w:rFonts w:ascii="Cambria" w:eastAsia="MS Mincho" w:hAnsi="Cambria" w:cs="Times New Roman"/>
      <w:sz w:val="24"/>
      <w:szCs w:val="24"/>
      <w:lang w:val="fr-FR"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43D8"/>
    <w:pPr>
      <w:ind w:left="720"/>
      <w:contextualSpacing/>
    </w:pPr>
  </w:style>
  <w:style w:type="paragraph" w:styleId="DipnotMetni">
    <w:name w:val="footnote text"/>
    <w:basedOn w:val="Normal"/>
    <w:link w:val="DipnotMetniChar"/>
    <w:uiPriority w:val="99"/>
    <w:unhideWhenUsed/>
    <w:rsid w:val="004143D8"/>
  </w:style>
  <w:style w:type="character" w:customStyle="1" w:styleId="DipnotMetniChar">
    <w:name w:val="Dipnot Metni Char"/>
    <w:basedOn w:val="VarsaylanParagrafYazTipi"/>
    <w:link w:val="DipnotMetni"/>
    <w:uiPriority w:val="99"/>
    <w:rsid w:val="004143D8"/>
    <w:rPr>
      <w:rFonts w:ascii="Cambria" w:eastAsia="MS Mincho" w:hAnsi="Cambria" w:cs="Times New Roman"/>
      <w:sz w:val="24"/>
      <w:szCs w:val="24"/>
      <w:lang w:val="fr-FR" w:eastAsia="fr-FR"/>
    </w:rPr>
  </w:style>
  <w:style w:type="character" w:styleId="DipnotBavurusu">
    <w:name w:val="footnote reference"/>
    <w:basedOn w:val="VarsaylanParagrafYazTipi"/>
    <w:uiPriority w:val="99"/>
    <w:unhideWhenUsed/>
    <w:rsid w:val="004143D8"/>
    <w:rPr>
      <w:vertAlign w:val="superscript"/>
    </w:rPr>
  </w:style>
  <w:style w:type="paragraph" w:styleId="AralkYok">
    <w:name w:val="No Spacing"/>
    <w:uiPriority w:val="1"/>
    <w:qFormat/>
    <w:rsid w:val="004143D8"/>
    <w:pPr>
      <w:spacing w:after="0" w:line="240" w:lineRule="auto"/>
    </w:pPr>
    <w:rPr>
      <w:rFonts w:ascii="Times New Roman" w:eastAsia="MS Mincho" w:hAnsi="Times New Roman" w:cs="Times New Roman"/>
      <w:sz w:val="24"/>
      <w:szCs w:val="24"/>
      <w:lang w:val="de-DE" w:eastAsia="de-DE"/>
    </w:rPr>
  </w:style>
  <w:style w:type="paragraph" w:styleId="stbilgi">
    <w:name w:val="header"/>
    <w:basedOn w:val="Normal"/>
    <w:link w:val="stbilgiChar"/>
    <w:uiPriority w:val="99"/>
    <w:unhideWhenUsed/>
    <w:rsid w:val="004143D8"/>
    <w:pPr>
      <w:tabs>
        <w:tab w:val="center" w:pos="4536"/>
        <w:tab w:val="right" w:pos="9072"/>
      </w:tabs>
    </w:pPr>
  </w:style>
  <w:style w:type="character" w:customStyle="1" w:styleId="stbilgiChar">
    <w:name w:val="Üstbilgi Char"/>
    <w:basedOn w:val="VarsaylanParagrafYazTipi"/>
    <w:link w:val="stbilgi"/>
    <w:uiPriority w:val="99"/>
    <w:rsid w:val="004143D8"/>
    <w:rPr>
      <w:rFonts w:ascii="Cambria" w:eastAsia="MS Mincho" w:hAnsi="Cambria" w:cs="Times New Roman"/>
      <w:sz w:val="24"/>
      <w:szCs w:val="24"/>
      <w:lang w:val="fr-FR" w:eastAsia="fr-FR"/>
    </w:rPr>
  </w:style>
  <w:style w:type="paragraph" w:styleId="Altbilgi">
    <w:name w:val="footer"/>
    <w:basedOn w:val="Normal"/>
    <w:link w:val="AltbilgiChar"/>
    <w:uiPriority w:val="99"/>
    <w:unhideWhenUsed/>
    <w:rsid w:val="004143D8"/>
    <w:pPr>
      <w:tabs>
        <w:tab w:val="center" w:pos="4536"/>
        <w:tab w:val="right" w:pos="9072"/>
      </w:tabs>
    </w:pPr>
  </w:style>
  <w:style w:type="character" w:customStyle="1" w:styleId="AltbilgiChar">
    <w:name w:val="Altbilgi Char"/>
    <w:basedOn w:val="VarsaylanParagrafYazTipi"/>
    <w:link w:val="Altbilgi"/>
    <w:uiPriority w:val="99"/>
    <w:rsid w:val="004143D8"/>
    <w:rPr>
      <w:rFonts w:ascii="Cambria" w:eastAsia="MS Mincho" w:hAnsi="Cambria" w:cs="Times New Roman"/>
      <w:sz w:val="24"/>
      <w:szCs w:val="24"/>
      <w:lang w:val="fr-FR" w:eastAsia="fr-FR"/>
    </w:rPr>
  </w:style>
  <w:style w:type="paragraph" w:styleId="BalonMetni">
    <w:name w:val="Balloon Text"/>
    <w:basedOn w:val="Normal"/>
    <w:link w:val="BalonMetniChar"/>
    <w:uiPriority w:val="99"/>
    <w:semiHidden/>
    <w:unhideWhenUsed/>
    <w:rsid w:val="0034483D"/>
    <w:rPr>
      <w:rFonts w:ascii="Tahoma" w:hAnsi="Tahoma" w:cs="Tahoma"/>
      <w:sz w:val="16"/>
      <w:szCs w:val="16"/>
    </w:rPr>
  </w:style>
  <w:style w:type="character" w:customStyle="1" w:styleId="BalonMetniChar">
    <w:name w:val="Balon Metni Char"/>
    <w:basedOn w:val="VarsaylanParagrafYazTipi"/>
    <w:link w:val="BalonMetni"/>
    <w:uiPriority w:val="99"/>
    <w:semiHidden/>
    <w:rsid w:val="0034483D"/>
    <w:rPr>
      <w:rFonts w:ascii="Tahoma" w:eastAsia="MS Mincho"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3D8"/>
    <w:pPr>
      <w:spacing w:after="0" w:line="240" w:lineRule="auto"/>
    </w:pPr>
    <w:rPr>
      <w:rFonts w:ascii="Cambria" w:eastAsia="MS Mincho" w:hAnsi="Cambria" w:cs="Times New Roman"/>
      <w:sz w:val="24"/>
      <w:szCs w:val="24"/>
      <w:lang w:val="fr-FR"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43D8"/>
    <w:pPr>
      <w:ind w:left="720"/>
      <w:contextualSpacing/>
    </w:pPr>
  </w:style>
  <w:style w:type="paragraph" w:styleId="DipnotMetni">
    <w:name w:val="footnote text"/>
    <w:basedOn w:val="Normal"/>
    <w:link w:val="DipnotMetniChar"/>
    <w:uiPriority w:val="99"/>
    <w:unhideWhenUsed/>
    <w:rsid w:val="004143D8"/>
  </w:style>
  <w:style w:type="character" w:customStyle="1" w:styleId="DipnotMetniChar">
    <w:name w:val="Dipnot Metni Char"/>
    <w:basedOn w:val="VarsaylanParagrafYazTipi"/>
    <w:link w:val="DipnotMetni"/>
    <w:uiPriority w:val="99"/>
    <w:rsid w:val="004143D8"/>
    <w:rPr>
      <w:rFonts w:ascii="Cambria" w:eastAsia="MS Mincho" w:hAnsi="Cambria" w:cs="Times New Roman"/>
      <w:sz w:val="24"/>
      <w:szCs w:val="24"/>
      <w:lang w:val="fr-FR" w:eastAsia="fr-FR"/>
    </w:rPr>
  </w:style>
  <w:style w:type="character" w:styleId="DipnotBavurusu">
    <w:name w:val="footnote reference"/>
    <w:basedOn w:val="VarsaylanParagrafYazTipi"/>
    <w:uiPriority w:val="99"/>
    <w:unhideWhenUsed/>
    <w:rsid w:val="004143D8"/>
    <w:rPr>
      <w:vertAlign w:val="superscript"/>
    </w:rPr>
  </w:style>
  <w:style w:type="paragraph" w:styleId="AralkYok">
    <w:name w:val="No Spacing"/>
    <w:uiPriority w:val="1"/>
    <w:qFormat/>
    <w:rsid w:val="004143D8"/>
    <w:pPr>
      <w:spacing w:after="0" w:line="240" w:lineRule="auto"/>
    </w:pPr>
    <w:rPr>
      <w:rFonts w:ascii="Times New Roman" w:eastAsia="MS Mincho" w:hAnsi="Times New Roman" w:cs="Times New Roman"/>
      <w:sz w:val="24"/>
      <w:szCs w:val="24"/>
      <w:lang w:val="de-DE" w:eastAsia="de-DE"/>
    </w:rPr>
  </w:style>
  <w:style w:type="paragraph" w:styleId="stbilgi">
    <w:name w:val="header"/>
    <w:basedOn w:val="Normal"/>
    <w:link w:val="stbilgiChar"/>
    <w:uiPriority w:val="99"/>
    <w:unhideWhenUsed/>
    <w:rsid w:val="004143D8"/>
    <w:pPr>
      <w:tabs>
        <w:tab w:val="center" w:pos="4536"/>
        <w:tab w:val="right" w:pos="9072"/>
      </w:tabs>
    </w:pPr>
  </w:style>
  <w:style w:type="character" w:customStyle="1" w:styleId="stbilgiChar">
    <w:name w:val="Üstbilgi Char"/>
    <w:basedOn w:val="VarsaylanParagrafYazTipi"/>
    <w:link w:val="stbilgi"/>
    <w:uiPriority w:val="99"/>
    <w:rsid w:val="004143D8"/>
    <w:rPr>
      <w:rFonts w:ascii="Cambria" w:eastAsia="MS Mincho" w:hAnsi="Cambria" w:cs="Times New Roman"/>
      <w:sz w:val="24"/>
      <w:szCs w:val="24"/>
      <w:lang w:val="fr-FR" w:eastAsia="fr-FR"/>
    </w:rPr>
  </w:style>
  <w:style w:type="paragraph" w:styleId="Altbilgi">
    <w:name w:val="footer"/>
    <w:basedOn w:val="Normal"/>
    <w:link w:val="AltbilgiChar"/>
    <w:uiPriority w:val="99"/>
    <w:unhideWhenUsed/>
    <w:rsid w:val="004143D8"/>
    <w:pPr>
      <w:tabs>
        <w:tab w:val="center" w:pos="4536"/>
        <w:tab w:val="right" w:pos="9072"/>
      </w:tabs>
    </w:pPr>
  </w:style>
  <w:style w:type="character" w:customStyle="1" w:styleId="AltbilgiChar">
    <w:name w:val="Altbilgi Char"/>
    <w:basedOn w:val="VarsaylanParagrafYazTipi"/>
    <w:link w:val="Altbilgi"/>
    <w:uiPriority w:val="99"/>
    <w:rsid w:val="004143D8"/>
    <w:rPr>
      <w:rFonts w:ascii="Cambria" w:eastAsia="MS Mincho" w:hAnsi="Cambria" w:cs="Times New Roman"/>
      <w:sz w:val="24"/>
      <w:szCs w:val="24"/>
      <w:lang w:val="fr-FR" w:eastAsia="fr-FR"/>
    </w:rPr>
  </w:style>
  <w:style w:type="paragraph" w:styleId="BalonMetni">
    <w:name w:val="Balloon Text"/>
    <w:basedOn w:val="Normal"/>
    <w:link w:val="BalonMetniChar"/>
    <w:uiPriority w:val="99"/>
    <w:semiHidden/>
    <w:unhideWhenUsed/>
    <w:rsid w:val="0034483D"/>
    <w:rPr>
      <w:rFonts w:ascii="Tahoma" w:hAnsi="Tahoma" w:cs="Tahoma"/>
      <w:sz w:val="16"/>
      <w:szCs w:val="16"/>
    </w:rPr>
  </w:style>
  <w:style w:type="character" w:customStyle="1" w:styleId="BalonMetniChar">
    <w:name w:val="Balon Metni Char"/>
    <w:basedOn w:val="VarsaylanParagrafYazTipi"/>
    <w:link w:val="BalonMetni"/>
    <w:uiPriority w:val="99"/>
    <w:semiHidden/>
    <w:rsid w:val="0034483D"/>
    <w:rPr>
      <w:rFonts w:ascii="Tahoma" w:eastAsia="MS Mincho"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face.com"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968</Words>
  <Characters>5521</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gezer</dc:creator>
  <cp:keywords/>
  <dc:description/>
  <cp:lastModifiedBy>BURCU ATASOY</cp:lastModifiedBy>
  <cp:revision>12</cp:revision>
  <dcterms:created xsi:type="dcterms:W3CDTF">2014-11-25T09:49:00Z</dcterms:created>
  <dcterms:modified xsi:type="dcterms:W3CDTF">2014-11-25T15:17:00Z</dcterms:modified>
</cp:coreProperties>
</file>